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C75C5" w14:textId="77777777" w:rsidR="00F74644" w:rsidRDefault="00F74644" w:rsidP="006A59E7">
      <w:pPr>
        <w:rPr>
          <w:b/>
        </w:rPr>
      </w:pPr>
      <w:bookmarkStart w:id="0" w:name="_GoBack"/>
      <w:bookmarkEnd w:id="0"/>
    </w:p>
    <w:p w14:paraId="47CED2D8" w14:textId="77777777" w:rsidR="00F74644" w:rsidRDefault="00F74644" w:rsidP="006A59E7">
      <w:pPr>
        <w:rPr>
          <w:b/>
        </w:rPr>
      </w:pPr>
    </w:p>
    <w:p w14:paraId="647B7EDC" w14:textId="1E2AD92A" w:rsidR="004D507C" w:rsidRDefault="004A476C" w:rsidP="004D507C">
      <w:r>
        <w:rPr>
          <w:b/>
        </w:rPr>
        <w:t>3rd</w:t>
      </w:r>
      <w:r w:rsidR="00872E80">
        <w:rPr>
          <w:b/>
        </w:rPr>
        <w:t xml:space="preserve"> </w:t>
      </w:r>
      <w:r w:rsidR="006A59E7">
        <w:rPr>
          <w:b/>
        </w:rPr>
        <w:t>Draft</w:t>
      </w:r>
      <w:r w:rsidR="006A59E7">
        <w:t xml:space="preserve">:  </w:t>
      </w:r>
      <w:r w:rsidR="0044099A">
        <w:t>5</w:t>
      </w:r>
      <w:r w:rsidR="001F4521">
        <w:t>/</w:t>
      </w:r>
      <w:r>
        <w:t>20</w:t>
      </w:r>
      <w:r w:rsidR="001F4521">
        <w:t>/2020</w:t>
      </w:r>
    </w:p>
    <w:p w14:paraId="70BEA851" w14:textId="77777777" w:rsidR="004D507C" w:rsidRDefault="004D507C" w:rsidP="004D507C"/>
    <w:p w14:paraId="5D4C28EE" w14:textId="13795B13" w:rsidR="006115F3" w:rsidRDefault="00A1357C" w:rsidP="004D507C">
      <w:pPr>
        <w:jc w:val="center"/>
        <w:rPr>
          <w:sz w:val="36"/>
          <w:szCs w:val="36"/>
        </w:rPr>
      </w:pPr>
      <w:r>
        <w:rPr>
          <w:sz w:val="36"/>
          <w:szCs w:val="36"/>
        </w:rPr>
        <w:t>D</w:t>
      </w:r>
      <w:r w:rsidR="00E54A2D">
        <w:rPr>
          <w:sz w:val="36"/>
          <w:szCs w:val="36"/>
        </w:rPr>
        <w:t>oubts about</w:t>
      </w:r>
      <w:r>
        <w:rPr>
          <w:sz w:val="36"/>
          <w:szCs w:val="36"/>
        </w:rPr>
        <w:t xml:space="preserve"> Density</w:t>
      </w:r>
      <w:r w:rsidR="00E54A2D">
        <w:rPr>
          <w:sz w:val="36"/>
          <w:szCs w:val="36"/>
        </w:rPr>
        <w:t>:</w:t>
      </w:r>
      <w:r>
        <w:rPr>
          <w:sz w:val="36"/>
          <w:szCs w:val="36"/>
        </w:rPr>
        <w:t xml:space="preserve"> </w:t>
      </w:r>
    </w:p>
    <w:p w14:paraId="0313A718" w14:textId="73B424F6" w:rsidR="006A59E7" w:rsidRDefault="004D507C" w:rsidP="00A1357C">
      <w:pPr>
        <w:jc w:val="center"/>
        <w:rPr>
          <w:b/>
          <w:bCs/>
          <w:sz w:val="36"/>
          <w:szCs w:val="36"/>
        </w:rPr>
      </w:pPr>
      <w:r>
        <w:rPr>
          <w:sz w:val="36"/>
          <w:szCs w:val="36"/>
        </w:rPr>
        <w:t xml:space="preserve"> C</w:t>
      </w:r>
      <w:r w:rsidR="00A1357C">
        <w:rPr>
          <w:sz w:val="36"/>
          <w:szCs w:val="36"/>
        </w:rPr>
        <w:t>ovid-19 across Cities and Towns</w:t>
      </w:r>
    </w:p>
    <w:p w14:paraId="23FE0056" w14:textId="77777777" w:rsidR="006A59E7" w:rsidRDefault="006A59E7" w:rsidP="006A59E7">
      <w:pPr>
        <w:pStyle w:val="BodyText"/>
        <w:rPr>
          <w:b w:val="0"/>
          <w:bCs w:val="0"/>
          <w:sz w:val="24"/>
        </w:rPr>
      </w:pPr>
    </w:p>
    <w:p w14:paraId="625FBB0F" w14:textId="77777777" w:rsidR="006A59E7" w:rsidRDefault="006A59E7" w:rsidP="006A59E7">
      <w:pPr>
        <w:pStyle w:val="BodyText"/>
        <w:rPr>
          <w:b w:val="0"/>
          <w:bCs w:val="0"/>
          <w:sz w:val="24"/>
        </w:rPr>
      </w:pPr>
      <w:r>
        <w:rPr>
          <w:b w:val="0"/>
          <w:bCs w:val="0"/>
          <w:sz w:val="24"/>
        </w:rPr>
        <w:t>By</w:t>
      </w:r>
    </w:p>
    <w:p w14:paraId="0D981ACD" w14:textId="77777777" w:rsidR="006A59E7" w:rsidRDefault="006A59E7" w:rsidP="006A59E7">
      <w:pPr>
        <w:pStyle w:val="BodyText"/>
        <w:rPr>
          <w:b w:val="0"/>
          <w:bCs w:val="0"/>
          <w:sz w:val="24"/>
        </w:rPr>
      </w:pPr>
    </w:p>
    <w:p w14:paraId="1F48D09D" w14:textId="77777777" w:rsidR="006A59E7" w:rsidRDefault="006A59E7" w:rsidP="006A59E7">
      <w:pPr>
        <w:pStyle w:val="BodyText"/>
        <w:rPr>
          <w:b w:val="0"/>
          <w:bCs w:val="0"/>
          <w:sz w:val="24"/>
        </w:rPr>
      </w:pPr>
    </w:p>
    <w:p w14:paraId="4777DBF8" w14:textId="77777777" w:rsidR="006A59E7" w:rsidRDefault="006A59E7" w:rsidP="006A59E7">
      <w:pPr>
        <w:pStyle w:val="BodyText"/>
        <w:rPr>
          <w:b w:val="0"/>
          <w:bCs w:val="0"/>
          <w:sz w:val="24"/>
        </w:rPr>
      </w:pPr>
      <w:r>
        <w:rPr>
          <w:b w:val="0"/>
          <w:bCs w:val="0"/>
          <w:sz w:val="24"/>
        </w:rPr>
        <w:t>William C. Wheaton</w:t>
      </w:r>
    </w:p>
    <w:p w14:paraId="5C3E9721" w14:textId="77777777" w:rsidR="006A59E7" w:rsidRDefault="006A59E7" w:rsidP="006A59E7">
      <w:pPr>
        <w:pStyle w:val="BodyText"/>
        <w:rPr>
          <w:b w:val="0"/>
          <w:bCs w:val="0"/>
          <w:sz w:val="24"/>
        </w:rPr>
      </w:pPr>
      <w:r>
        <w:rPr>
          <w:b w:val="0"/>
          <w:bCs w:val="0"/>
          <w:sz w:val="24"/>
        </w:rPr>
        <w:t>Department of Economics</w:t>
      </w:r>
    </w:p>
    <w:p w14:paraId="6838A540" w14:textId="77777777" w:rsidR="006A59E7" w:rsidRDefault="006A59E7" w:rsidP="006A59E7">
      <w:pPr>
        <w:pStyle w:val="BodyText"/>
        <w:rPr>
          <w:b w:val="0"/>
          <w:bCs w:val="0"/>
          <w:sz w:val="24"/>
        </w:rPr>
      </w:pPr>
      <w:r>
        <w:rPr>
          <w:b w:val="0"/>
          <w:bCs w:val="0"/>
          <w:sz w:val="24"/>
        </w:rPr>
        <w:t>Center for Real Estate</w:t>
      </w:r>
    </w:p>
    <w:p w14:paraId="60288767" w14:textId="77777777" w:rsidR="006A59E7" w:rsidRDefault="006A59E7" w:rsidP="006A59E7">
      <w:pPr>
        <w:pStyle w:val="BodyText"/>
        <w:rPr>
          <w:b w:val="0"/>
          <w:bCs w:val="0"/>
          <w:sz w:val="24"/>
        </w:rPr>
      </w:pPr>
      <w:r>
        <w:rPr>
          <w:b w:val="0"/>
          <w:bCs w:val="0"/>
          <w:sz w:val="24"/>
        </w:rPr>
        <w:t>MIT*</w:t>
      </w:r>
    </w:p>
    <w:p w14:paraId="0DDF5DA0" w14:textId="77777777" w:rsidR="006A59E7" w:rsidRDefault="006A59E7" w:rsidP="006A59E7">
      <w:pPr>
        <w:pStyle w:val="BodyText"/>
        <w:rPr>
          <w:b w:val="0"/>
          <w:bCs w:val="0"/>
          <w:sz w:val="24"/>
        </w:rPr>
      </w:pPr>
      <w:r>
        <w:rPr>
          <w:b w:val="0"/>
          <w:bCs w:val="0"/>
          <w:sz w:val="24"/>
        </w:rPr>
        <w:t>Cambridge, Mass 02139</w:t>
      </w:r>
    </w:p>
    <w:p w14:paraId="4D17897B" w14:textId="77777777" w:rsidR="006A59E7" w:rsidRDefault="00FD258D" w:rsidP="006A59E7">
      <w:pPr>
        <w:pStyle w:val="BodyText"/>
        <w:rPr>
          <w:b w:val="0"/>
          <w:bCs w:val="0"/>
          <w:sz w:val="24"/>
          <w:lang w:val="es-ES"/>
        </w:rPr>
      </w:pPr>
      <w:hyperlink r:id="rId11" w:history="1">
        <w:r w:rsidR="006A59E7">
          <w:rPr>
            <w:rStyle w:val="Hyperlink"/>
            <w:b w:val="0"/>
            <w:bCs w:val="0"/>
            <w:sz w:val="24"/>
            <w:lang w:val="es-ES"/>
          </w:rPr>
          <w:t>wheaton@mit.edu</w:t>
        </w:r>
      </w:hyperlink>
    </w:p>
    <w:p w14:paraId="1B022308" w14:textId="77777777" w:rsidR="006A59E7" w:rsidRDefault="006A59E7" w:rsidP="006A59E7">
      <w:pPr>
        <w:pStyle w:val="BodyText"/>
        <w:rPr>
          <w:b w:val="0"/>
          <w:bCs w:val="0"/>
          <w:sz w:val="24"/>
          <w:lang w:val="es-ES"/>
        </w:rPr>
      </w:pPr>
    </w:p>
    <w:p w14:paraId="3C069A3C" w14:textId="77777777" w:rsidR="006A59E7" w:rsidRDefault="006A59E7" w:rsidP="006A59E7">
      <w:pPr>
        <w:pStyle w:val="BodyText"/>
        <w:rPr>
          <w:b w:val="0"/>
          <w:bCs w:val="0"/>
          <w:sz w:val="24"/>
          <w:lang w:val="es-ES"/>
        </w:rPr>
      </w:pPr>
    </w:p>
    <w:p w14:paraId="6457CFB4" w14:textId="77777777" w:rsidR="006A59E7" w:rsidRDefault="00D1471F" w:rsidP="006A59E7">
      <w:pPr>
        <w:pStyle w:val="BodyText"/>
        <w:rPr>
          <w:b w:val="0"/>
          <w:bCs w:val="0"/>
          <w:sz w:val="24"/>
          <w:lang w:val="es-ES"/>
        </w:rPr>
      </w:pPr>
      <w:r>
        <w:rPr>
          <w:b w:val="0"/>
          <w:bCs w:val="0"/>
          <w:sz w:val="24"/>
          <w:lang w:val="es-ES"/>
        </w:rPr>
        <w:t>Anne Kinsella Thompson</w:t>
      </w:r>
    </w:p>
    <w:p w14:paraId="17C8196A" w14:textId="77777777" w:rsidR="006A59E7" w:rsidRDefault="00D1471F" w:rsidP="006A59E7">
      <w:pPr>
        <w:pStyle w:val="BodyText"/>
        <w:rPr>
          <w:b w:val="0"/>
          <w:bCs w:val="0"/>
          <w:sz w:val="24"/>
          <w:lang w:val="es-ES"/>
        </w:rPr>
      </w:pPr>
      <w:r>
        <w:rPr>
          <w:b w:val="0"/>
          <w:bCs w:val="0"/>
          <w:sz w:val="24"/>
          <w:lang w:val="es-ES"/>
        </w:rPr>
        <w:t xml:space="preserve">Center </w:t>
      </w:r>
      <w:proofErr w:type="spellStart"/>
      <w:r>
        <w:rPr>
          <w:b w:val="0"/>
          <w:bCs w:val="0"/>
          <w:sz w:val="24"/>
          <w:lang w:val="es-ES"/>
        </w:rPr>
        <w:t>for</w:t>
      </w:r>
      <w:proofErr w:type="spellEnd"/>
      <w:r>
        <w:rPr>
          <w:b w:val="0"/>
          <w:bCs w:val="0"/>
          <w:sz w:val="24"/>
          <w:lang w:val="es-ES"/>
        </w:rPr>
        <w:t xml:space="preserve"> Real Estate</w:t>
      </w:r>
    </w:p>
    <w:p w14:paraId="7283B5FF" w14:textId="77777777" w:rsidR="00D1471F" w:rsidRDefault="00D1471F" w:rsidP="006A59E7">
      <w:pPr>
        <w:pStyle w:val="BodyText"/>
        <w:rPr>
          <w:b w:val="0"/>
          <w:bCs w:val="0"/>
          <w:sz w:val="24"/>
          <w:lang w:val="es-ES"/>
        </w:rPr>
      </w:pPr>
      <w:r>
        <w:rPr>
          <w:b w:val="0"/>
          <w:bCs w:val="0"/>
          <w:sz w:val="24"/>
          <w:lang w:val="es-ES"/>
        </w:rPr>
        <w:t>MIT</w:t>
      </w:r>
      <w:r w:rsidR="00C25DFE">
        <w:rPr>
          <w:b w:val="0"/>
          <w:bCs w:val="0"/>
          <w:sz w:val="24"/>
          <w:lang w:val="es-ES"/>
        </w:rPr>
        <w:t>*</w:t>
      </w:r>
    </w:p>
    <w:p w14:paraId="41E9E435" w14:textId="77777777" w:rsidR="006A59E7" w:rsidRDefault="00D1471F" w:rsidP="006A59E7">
      <w:pPr>
        <w:pStyle w:val="BodyText"/>
        <w:rPr>
          <w:b w:val="0"/>
          <w:bCs w:val="0"/>
          <w:sz w:val="24"/>
          <w:lang w:val="es-ES"/>
        </w:rPr>
      </w:pPr>
      <w:r>
        <w:rPr>
          <w:b w:val="0"/>
          <w:bCs w:val="0"/>
          <w:sz w:val="24"/>
          <w:lang w:val="es-ES"/>
        </w:rPr>
        <w:t xml:space="preserve">Cambridge, </w:t>
      </w:r>
      <w:proofErr w:type="spellStart"/>
      <w:r>
        <w:rPr>
          <w:b w:val="0"/>
          <w:bCs w:val="0"/>
          <w:sz w:val="24"/>
          <w:lang w:val="es-ES"/>
        </w:rPr>
        <w:t>Mass</w:t>
      </w:r>
      <w:proofErr w:type="spellEnd"/>
      <w:r>
        <w:rPr>
          <w:b w:val="0"/>
          <w:bCs w:val="0"/>
          <w:sz w:val="24"/>
          <w:lang w:val="es-ES"/>
        </w:rPr>
        <w:t xml:space="preserve"> 02139</w:t>
      </w:r>
    </w:p>
    <w:p w14:paraId="44E4A6BC" w14:textId="77777777" w:rsidR="00D1471F" w:rsidRDefault="00D1471F" w:rsidP="006A59E7">
      <w:pPr>
        <w:pStyle w:val="BodyText"/>
        <w:rPr>
          <w:b w:val="0"/>
          <w:bCs w:val="0"/>
          <w:sz w:val="24"/>
          <w:lang w:val="es-ES"/>
        </w:rPr>
      </w:pPr>
      <w:r w:rsidRPr="00D1471F">
        <w:rPr>
          <w:b w:val="0"/>
          <w:bCs w:val="0"/>
          <w:sz w:val="24"/>
          <w:lang w:val="es-ES"/>
        </w:rPr>
        <w:t>anniek@mit.edu</w:t>
      </w:r>
    </w:p>
    <w:p w14:paraId="12DD6034" w14:textId="77777777" w:rsidR="00D1471F" w:rsidRDefault="00D1471F" w:rsidP="006A59E7">
      <w:pPr>
        <w:pStyle w:val="BodyText"/>
        <w:rPr>
          <w:b w:val="0"/>
          <w:bCs w:val="0"/>
          <w:sz w:val="24"/>
          <w:lang w:val="es-ES"/>
        </w:rPr>
      </w:pPr>
    </w:p>
    <w:p w14:paraId="51C05F91" w14:textId="77777777" w:rsidR="006A59E7" w:rsidRDefault="006A59E7" w:rsidP="006A59E7">
      <w:pPr>
        <w:pStyle w:val="BodyText"/>
        <w:rPr>
          <w:b w:val="0"/>
          <w:bCs w:val="0"/>
          <w:sz w:val="24"/>
          <w:lang w:val="es-ES"/>
        </w:rPr>
      </w:pPr>
    </w:p>
    <w:p w14:paraId="5C1F0BC0" w14:textId="77777777" w:rsidR="006A59E7" w:rsidRDefault="006A59E7" w:rsidP="006A59E7">
      <w:pPr>
        <w:pStyle w:val="BodyText"/>
        <w:rPr>
          <w:b w:val="0"/>
          <w:bCs w:val="0"/>
          <w:sz w:val="24"/>
          <w:lang w:val="es-ES"/>
        </w:rPr>
      </w:pPr>
    </w:p>
    <w:p w14:paraId="2E12A8EE" w14:textId="77777777" w:rsidR="006A59E7" w:rsidRDefault="006A59E7" w:rsidP="006A59E7">
      <w:pPr>
        <w:pStyle w:val="BodyText"/>
        <w:rPr>
          <w:b w:val="0"/>
          <w:bCs w:val="0"/>
          <w:sz w:val="24"/>
          <w:lang w:val="es-ES"/>
        </w:rPr>
      </w:pPr>
    </w:p>
    <w:p w14:paraId="1CE786AF" w14:textId="77777777" w:rsidR="006A59E7" w:rsidRDefault="006A59E7" w:rsidP="006A59E7">
      <w:pPr>
        <w:pStyle w:val="BodyText"/>
        <w:rPr>
          <w:b w:val="0"/>
          <w:bCs w:val="0"/>
          <w:sz w:val="24"/>
          <w:lang w:val="es-ES"/>
        </w:rPr>
      </w:pPr>
    </w:p>
    <w:p w14:paraId="7926A157" w14:textId="77777777" w:rsidR="006A59E7" w:rsidRDefault="006A59E7" w:rsidP="006A59E7">
      <w:pPr>
        <w:pStyle w:val="BodyText"/>
        <w:rPr>
          <w:b w:val="0"/>
          <w:bCs w:val="0"/>
          <w:sz w:val="24"/>
          <w:lang w:val="es-ES"/>
        </w:rPr>
      </w:pPr>
    </w:p>
    <w:p w14:paraId="5A088888" w14:textId="77777777" w:rsidR="006A59E7" w:rsidRDefault="006A59E7" w:rsidP="006A59E7">
      <w:pPr>
        <w:pStyle w:val="BodyText"/>
        <w:rPr>
          <w:b w:val="0"/>
          <w:bCs w:val="0"/>
          <w:sz w:val="24"/>
          <w:lang w:val="es-ES"/>
        </w:rPr>
      </w:pPr>
    </w:p>
    <w:p w14:paraId="146AA20D" w14:textId="77777777" w:rsidR="006A59E7" w:rsidRDefault="006A59E7" w:rsidP="006A59E7">
      <w:pPr>
        <w:pStyle w:val="BodyText"/>
        <w:rPr>
          <w:b w:val="0"/>
          <w:bCs w:val="0"/>
          <w:sz w:val="24"/>
        </w:rPr>
      </w:pPr>
    </w:p>
    <w:p w14:paraId="59D77BA0" w14:textId="77777777" w:rsidR="006A59E7" w:rsidRDefault="006A59E7" w:rsidP="006A59E7">
      <w:pPr>
        <w:pStyle w:val="BodyText"/>
        <w:rPr>
          <w:b w:val="0"/>
          <w:bCs w:val="0"/>
          <w:sz w:val="24"/>
        </w:rPr>
      </w:pPr>
    </w:p>
    <w:p w14:paraId="3AAE9E17" w14:textId="77777777" w:rsidR="006A59E7" w:rsidRDefault="006A59E7" w:rsidP="006A59E7">
      <w:pPr>
        <w:pStyle w:val="BodyText"/>
        <w:rPr>
          <w:b w:val="0"/>
          <w:bCs w:val="0"/>
          <w:sz w:val="24"/>
        </w:rPr>
      </w:pPr>
    </w:p>
    <w:p w14:paraId="57F3A096" w14:textId="77777777" w:rsidR="006A59E7" w:rsidRDefault="006A59E7" w:rsidP="006A59E7">
      <w:pPr>
        <w:pStyle w:val="BodyText"/>
        <w:rPr>
          <w:b w:val="0"/>
          <w:bCs w:val="0"/>
          <w:sz w:val="24"/>
        </w:rPr>
      </w:pPr>
    </w:p>
    <w:p w14:paraId="3864783A" w14:textId="77777777" w:rsidR="006A59E7" w:rsidRDefault="006A59E7" w:rsidP="006A59E7">
      <w:pPr>
        <w:pStyle w:val="BodyText"/>
        <w:rPr>
          <w:b w:val="0"/>
          <w:bCs w:val="0"/>
          <w:sz w:val="24"/>
        </w:rPr>
      </w:pPr>
      <w:r>
        <w:rPr>
          <w:b w:val="0"/>
          <w:bCs w:val="0"/>
          <w:sz w:val="24"/>
        </w:rPr>
        <w:t xml:space="preserve">The authors are </w:t>
      </w:r>
      <w:r w:rsidR="001C4219">
        <w:rPr>
          <w:b w:val="0"/>
          <w:bCs w:val="0"/>
          <w:sz w:val="24"/>
        </w:rPr>
        <w:t xml:space="preserve">respectively </w:t>
      </w:r>
      <w:r w:rsidR="00D1471F">
        <w:rPr>
          <w:b w:val="0"/>
          <w:bCs w:val="0"/>
          <w:sz w:val="24"/>
        </w:rPr>
        <w:t xml:space="preserve">Professor </w:t>
      </w:r>
      <w:r w:rsidR="001C4219">
        <w:rPr>
          <w:b w:val="0"/>
          <w:bCs w:val="0"/>
          <w:sz w:val="24"/>
        </w:rPr>
        <w:t xml:space="preserve">(Emeritus, Economics) </w:t>
      </w:r>
      <w:r w:rsidR="00D1471F">
        <w:rPr>
          <w:b w:val="0"/>
          <w:bCs w:val="0"/>
          <w:sz w:val="24"/>
        </w:rPr>
        <w:t xml:space="preserve">and Lecturer at </w:t>
      </w:r>
      <w:r>
        <w:rPr>
          <w:b w:val="0"/>
          <w:bCs w:val="0"/>
          <w:sz w:val="24"/>
        </w:rPr>
        <w:t xml:space="preserve">the MIT Center for Real Estate.  They remain responsible for all results and conclusions derived there from. </w:t>
      </w:r>
    </w:p>
    <w:p w14:paraId="01652BD4" w14:textId="77777777" w:rsidR="006A59E7" w:rsidRDefault="006A59E7" w:rsidP="006A59E7">
      <w:pPr>
        <w:pStyle w:val="BodyText"/>
        <w:rPr>
          <w:b w:val="0"/>
          <w:bCs w:val="0"/>
          <w:sz w:val="24"/>
        </w:rPr>
      </w:pPr>
    </w:p>
    <w:p w14:paraId="214F26EE" w14:textId="77777777" w:rsidR="006A59E7" w:rsidRDefault="006A59E7" w:rsidP="006A59E7">
      <w:pPr>
        <w:pStyle w:val="BodyText"/>
        <w:rPr>
          <w:b w:val="0"/>
          <w:bCs w:val="0"/>
          <w:sz w:val="24"/>
        </w:rPr>
      </w:pPr>
    </w:p>
    <w:p w14:paraId="749533CD" w14:textId="77777777" w:rsidR="0089055E" w:rsidRDefault="0089055E" w:rsidP="0089055E">
      <w:pPr>
        <w:pStyle w:val="BodyText"/>
        <w:rPr>
          <w:b w:val="0"/>
          <w:bCs w:val="0"/>
          <w:sz w:val="24"/>
        </w:rPr>
      </w:pPr>
      <w:r>
        <w:rPr>
          <w:b w:val="0"/>
          <w:bCs w:val="0"/>
          <w:sz w:val="24"/>
        </w:rPr>
        <w:t xml:space="preserve">JEL Code: R, </w:t>
      </w:r>
      <w:r w:rsidR="001D00AE">
        <w:rPr>
          <w:b w:val="0"/>
          <w:bCs w:val="0"/>
          <w:sz w:val="24"/>
        </w:rPr>
        <w:t>I</w:t>
      </w:r>
      <w:r>
        <w:rPr>
          <w:b w:val="0"/>
          <w:bCs w:val="0"/>
          <w:sz w:val="24"/>
        </w:rPr>
        <w:t xml:space="preserve">. </w:t>
      </w:r>
    </w:p>
    <w:p w14:paraId="1AF145C9" w14:textId="77777777" w:rsidR="0089055E" w:rsidRDefault="0089055E" w:rsidP="0089055E">
      <w:pPr>
        <w:pStyle w:val="BodyText"/>
        <w:rPr>
          <w:b w:val="0"/>
          <w:bCs w:val="0"/>
          <w:sz w:val="24"/>
        </w:rPr>
      </w:pPr>
      <w:r>
        <w:rPr>
          <w:b w:val="0"/>
          <w:bCs w:val="0"/>
          <w:sz w:val="24"/>
        </w:rPr>
        <w:t xml:space="preserve">Keywords: </w:t>
      </w:r>
      <w:r w:rsidR="001D00AE">
        <w:rPr>
          <w:b w:val="0"/>
          <w:bCs w:val="0"/>
          <w:sz w:val="24"/>
        </w:rPr>
        <w:t xml:space="preserve">Coronavirus, Health, Urban Economics </w:t>
      </w:r>
    </w:p>
    <w:p w14:paraId="274C235A" w14:textId="7146DEB3" w:rsidR="006B4068" w:rsidRPr="005D5DF5" w:rsidRDefault="00FD258D" w:rsidP="0089055E">
      <w:pPr>
        <w:pStyle w:val="BodyText"/>
        <w:rPr>
          <w:b w:val="0"/>
          <w:bCs w:val="0"/>
          <w:sz w:val="28"/>
          <w:szCs w:val="28"/>
        </w:rPr>
      </w:pPr>
      <w:hyperlink r:id="rId12" w:history="1">
        <w:r w:rsidR="005D5DF5" w:rsidRPr="005D5DF5">
          <w:rPr>
            <w:rStyle w:val="Hyperlink"/>
            <w:b w:val="0"/>
            <w:sz w:val="28"/>
            <w:szCs w:val="28"/>
          </w:rPr>
          <w:t>http://ssrn.com/abstract=3586081</w:t>
        </w:r>
      </w:hyperlink>
      <w:r w:rsidR="006B4068" w:rsidRPr="005D5DF5">
        <w:rPr>
          <w:b w:val="0"/>
          <w:bCs w:val="0"/>
          <w:sz w:val="28"/>
          <w:szCs w:val="28"/>
        </w:rPr>
        <w:t xml:space="preserve"> </w:t>
      </w:r>
      <w:r w:rsidR="006B4068" w:rsidRPr="005D5DF5">
        <w:rPr>
          <w:b w:val="0"/>
          <w:sz w:val="28"/>
          <w:szCs w:val="28"/>
        </w:rPr>
        <w:t xml:space="preserve">     </w:t>
      </w:r>
    </w:p>
    <w:p w14:paraId="606EC957" w14:textId="77777777" w:rsidR="00AC5C2F" w:rsidRPr="005D5DF5" w:rsidRDefault="00AC5C2F">
      <w:pPr>
        <w:rPr>
          <w:sz w:val="32"/>
          <w:szCs w:val="32"/>
        </w:rPr>
      </w:pPr>
    </w:p>
    <w:p w14:paraId="152EEED1" w14:textId="77777777" w:rsidR="0039313F" w:rsidRDefault="00AC5C2F" w:rsidP="00AC5C2F">
      <w:pPr>
        <w:rPr>
          <w:bCs/>
        </w:rPr>
      </w:pPr>
      <w:r>
        <w:rPr>
          <w:bCs/>
        </w:rPr>
        <w:tab/>
      </w:r>
      <w:r>
        <w:rPr>
          <w:bCs/>
        </w:rPr>
        <w:tab/>
      </w:r>
      <w:r>
        <w:rPr>
          <w:bCs/>
        </w:rPr>
        <w:tab/>
      </w:r>
      <w:r>
        <w:rPr>
          <w:bCs/>
        </w:rPr>
        <w:tab/>
      </w:r>
      <w:r>
        <w:rPr>
          <w:bCs/>
        </w:rPr>
        <w:tab/>
      </w:r>
    </w:p>
    <w:p w14:paraId="7F51DA53" w14:textId="77777777" w:rsidR="006B4068" w:rsidRDefault="0039313F" w:rsidP="00AC5C2F">
      <w:pPr>
        <w:rPr>
          <w:bCs/>
        </w:rPr>
      </w:pPr>
      <w:r>
        <w:rPr>
          <w:bCs/>
        </w:rPr>
        <w:tab/>
      </w:r>
      <w:r>
        <w:rPr>
          <w:bCs/>
        </w:rPr>
        <w:tab/>
      </w:r>
      <w:r>
        <w:rPr>
          <w:bCs/>
        </w:rPr>
        <w:tab/>
      </w:r>
      <w:r>
        <w:rPr>
          <w:bCs/>
        </w:rPr>
        <w:tab/>
      </w:r>
    </w:p>
    <w:p w14:paraId="448C8418" w14:textId="2582ABF4" w:rsidR="00AC5C2F" w:rsidRDefault="0039313F" w:rsidP="00AC5C2F">
      <w:pPr>
        <w:rPr>
          <w:b/>
          <w:bCs/>
        </w:rPr>
      </w:pPr>
      <w:r>
        <w:rPr>
          <w:bCs/>
        </w:rPr>
        <w:tab/>
      </w:r>
    </w:p>
    <w:p w14:paraId="5DB46116" w14:textId="77777777" w:rsidR="00CC40B7" w:rsidRDefault="00CC40B7" w:rsidP="00AC5C2F">
      <w:pPr>
        <w:rPr>
          <w:b/>
          <w:bCs/>
        </w:rPr>
      </w:pPr>
    </w:p>
    <w:p w14:paraId="6BFD770F" w14:textId="77777777" w:rsidR="00AC5C2F" w:rsidRDefault="00AC5C2F" w:rsidP="00AC5C2F">
      <w:pPr>
        <w:pStyle w:val="BodyText"/>
        <w:jc w:val="left"/>
        <w:rPr>
          <w:b w:val="0"/>
          <w:bCs w:val="0"/>
          <w:sz w:val="24"/>
        </w:rPr>
      </w:pPr>
    </w:p>
    <w:p w14:paraId="1561459F" w14:textId="77777777" w:rsidR="00E54A2D" w:rsidRDefault="00883148" w:rsidP="00883148">
      <w:pPr>
        <w:rPr>
          <w:bCs/>
        </w:rPr>
      </w:pPr>
      <w:r>
        <w:rPr>
          <w:bCs/>
        </w:rPr>
        <w:tab/>
        <w:t xml:space="preserve">   </w:t>
      </w:r>
      <w:r>
        <w:rPr>
          <w:bCs/>
        </w:rPr>
        <w:tab/>
      </w:r>
      <w:r>
        <w:rPr>
          <w:bCs/>
        </w:rPr>
        <w:tab/>
      </w:r>
      <w:r>
        <w:rPr>
          <w:bCs/>
        </w:rPr>
        <w:tab/>
      </w:r>
      <w:r>
        <w:rPr>
          <w:bCs/>
        </w:rPr>
        <w:tab/>
      </w:r>
    </w:p>
    <w:p w14:paraId="612DBA60" w14:textId="28246519" w:rsidR="00883148" w:rsidRDefault="00E54A2D" w:rsidP="00883148">
      <w:pPr>
        <w:rPr>
          <w:b/>
          <w:bCs/>
        </w:rPr>
      </w:pPr>
      <w:r>
        <w:rPr>
          <w:bCs/>
        </w:rPr>
        <w:tab/>
      </w:r>
      <w:r>
        <w:rPr>
          <w:bCs/>
        </w:rPr>
        <w:tab/>
      </w:r>
      <w:r>
        <w:rPr>
          <w:bCs/>
        </w:rPr>
        <w:tab/>
      </w:r>
      <w:r>
        <w:rPr>
          <w:bCs/>
        </w:rPr>
        <w:tab/>
      </w:r>
      <w:r>
        <w:rPr>
          <w:bCs/>
        </w:rPr>
        <w:tab/>
      </w:r>
      <w:r>
        <w:rPr>
          <w:bCs/>
        </w:rPr>
        <w:tab/>
      </w:r>
      <w:r w:rsidR="003A7E47">
        <w:rPr>
          <w:bCs/>
        </w:rPr>
        <w:t>A</w:t>
      </w:r>
      <w:r w:rsidR="00883148">
        <w:rPr>
          <w:b/>
          <w:bCs/>
        </w:rPr>
        <w:t>bstract</w:t>
      </w:r>
    </w:p>
    <w:p w14:paraId="3253CFFD" w14:textId="77777777" w:rsidR="00883148" w:rsidRDefault="00883148" w:rsidP="00883148">
      <w:pPr>
        <w:rPr>
          <w:b/>
          <w:bCs/>
        </w:rPr>
      </w:pPr>
    </w:p>
    <w:p w14:paraId="545EF1F4" w14:textId="77777777" w:rsidR="00883148" w:rsidRDefault="00883148" w:rsidP="00883148">
      <w:pPr>
        <w:pStyle w:val="BodyText"/>
        <w:jc w:val="left"/>
        <w:rPr>
          <w:b w:val="0"/>
          <w:bCs w:val="0"/>
          <w:sz w:val="24"/>
        </w:rPr>
      </w:pPr>
    </w:p>
    <w:p w14:paraId="4F0D5AC2" w14:textId="309C667B" w:rsidR="00E54A2D" w:rsidRDefault="00883148" w:rsidP="00883148">
      <w:pPr>
        <w:pStyle w:val="BodyText"/>
        <w:jc w:val="left"/>
        <w:rPr>
          <w:b w:val="0"/>
          <w:bCs w:val="0"/>
          <w:sz w:val="24"/>
        </w:rPr>
      </w:pPr>
      <w:r>
        <w:rPr>
          <w:b w:val="0"/>
          <w:bCs w:val="0"/>
          <w:sz w:val="24"/>
        </w:rPr>
        <w:t xml:space="preserve">It has been </w:t>
      </w:r>
      <w:r w:rsidR="00525EA4">
        <w:rPr>
          <w:b w:val="0"/>
          <w:bCs w:val="0"/>
          <w:sz w:val="24"/>
        </w:rPr>
        <w:t>more than 100</w:t>
      </w:r>
      <w:r>
        <w:rPr>
          <w:b w:val="0"/>
          <w:bCs w:val="0"/>
          <w:sz w:val="24"/>
        </w:rPr>
        <w:t xml:space="preserve"> days since the first case of Covid-19 was detected in the US. </w:t>
      </w:r>
      <w:r w:rsidR="00E54A2D">
        <w:rPr>
          <w:b w:val="0"/>
          <w:bCs w:val="0"/>
          <w:sz w:val="24"/>
        </w:rPr>
        <w:t xml:space="preserve">Until most recently information on the spread of the disease was not available by geographic areas smaller than counties. In an earlier piece we found a significant positive impact of county density on the daily progress of the disease in a dynamic model. </w:t>
      </w:r>
      <w:r>
        <w:rPr>
          <w:b w:val="0"/>
          <w:bCs w:val="0"/>
          <w:sz w:val="24"/>
        </w:rPr>
        <w:t>Since then</w:t>
      </w:r>
      <w:r w:rsidR="00E54A2D">
        <w:rPr>
          <w:b w:val="0"/>
          <w:bCs w:val="0"/>
          <w:sz w:val="24"/>
        </w:rPr>
        <w:t xml:space="preserve">, </w:t>
      </w:r>
      <w:r w:rsidR="00525EA4">
        <w:rPr>
          <w:b w:val="0"/>
          <w:bCs w:val="0"/>
          <w:sz w:val="24"/>
        </w:rPr>
        <w:t>sporadic</w:t>
      </w:r>
      <w:r w:rsidR="00E54A2D">
        <w:rPr>
          <w:b w:val="0"/>
          <w:bCs w:val="0"/>
          <w:sz w:val="24"/>
        </w:rPr>
        <w:t xml:space="preserve"> data on disease incidence </w:t>
      </w:r>
      <w:r w:rsidR="00801EA8">
        <w:rPr>
          <w:b w:val="0"/>
          <w:bCs w:val="0"/>
          <w:sz w:val="24"/>
        </w:rPr>
        <w:t xml:space="preserve">at the municipal level </w:t>
      </w:r>
      <w:r w:rsidR="00E54A2D">
        <w:rPr>
          <w:b w:val="0"/>
          <w:bCs w:val="0"/>
          <w:sz w:val="24"/>
        </w:rPr>
        <w:t xml:space="preserve">has become available in a few states. We use Massachusetts data </w:t>
      </w:r>
      <w:r w:rsidR="00525EA4">
        <w:rPr>
          <w:b w:val="0"/>
          <w:bCs w:val="0"/>
          <w:sz w:val="24"/>
        </w:rPr>
        <w:t xml:space="preserve">released on 4/15/20 and then again on 5/6/20 </w:t>
      </w:r>
      <w:r w:rsidR="00E54A2D">
        <w:rPr>
          <w:b w:val="0"/>
          <w:bCs w:val="0"/>
          <w:sz w:val="24"/>
        </w:rPr>
        <w:t xml:space="preserve">since it is a fully incorporated state. We find that municipalities with greater density and with a greater share of land use in commercial-industrial categories have a significantly higher percapita incidence of the disease. The quantitative impact of </w:t>
      </w:r>
      <w:r w:rsidR="00525EA4">
        <w:rPr>
          <w:b w:val="0"/>
          <w:bCs w:val="0"/>
          <w:sz w:val="24"/>
        </w:rPr>
        <w:t xml:space="preserve">these two “urban” variables </w:t>
      </w:r>
      <w:r w:rsidR="00E54A2D">
        <w:rPr>
          <w:b w:val="0"/>
          <w:bCs w:val="0"/>
          <w:sz w:val="24"/>
        </w:rPr>
        <w:t>is particularly large.</w:t>
      </w:r>
    </w:p>
    <w:p w14:paraId="44608593" w14:textId="77777777" w:rsidR="00E54A2D" w:rsidRDefault="00E54A2D" w:rsidP="00883148">
      <w:pPr>
        <w:pStyle w:val="BodyText"/>
        <w:jc w:val="left"/>
        <w:rPr>
          <w:b w:val="0"/>
          <w:bCs w:val="0"/>
          <w:sz w:val="24"/>
        </w:rPr>
      </w:pPr>
    </w:p>
    <w:p w14:paraId="1FE51C6F" w14:textId="40A7692C" w:rsidR="00B74F51" w:rsidRDefault="006A59E7" w:rsidP="00B74F51">
      <w:pPr>
        <w:rPr>
          <w:b/>
        </w:rPr>
      </w:pPr>
      <w:r>
        <w:rPr>
          <w:b/>
          <w:sz w:val="28"/>
          <w:szCs w:val="28"/>
        </w:rPr>
        <w:br w:type="page"/>
      </w:r>
      <w:r w:rsidR="00B74F51">
        <w:rPr>
          <w:b/>
        </w:rPr>
        <w:lastRenderedPageBreak/>
        <w:t xml:space="preserve">I. Introduction. </w:t>
      </w:r>
    </w:p>
    <w:p w14:paraId="33808E8A" w14:textId="77777777" w:rsidR="00B74F51" w:rsidRDefault="00B74F51" w:rsidP="000F7201"/>
    <w:p w14:paraId="378E200D" w14:textId="426DEBAB" w:rsidR="006F4ED1" w:rsidRDefault="0029034C" w:rsidP="0029034C">
      <w:pPr>
        <w:pStyle w:val="BodyText"/>
        <w:jc w:val="left"/>
        <w:rPr>
          <w:b w:val="0"/>
          <w:bCs w:val="0"/>
          <w:sz w:val="24"/>
        </w:rPr>
      </w:pPr>
      <w:r>
        <w:rPr>
          <w:b w:val="0"/>
          <w:bCs w:val="0"/>
          <w:sz w:val="24"/>
        </w:rPr>
        <w:tab/>
      </w:r>
      <w:r w:rsidR="009F4ACF">
        <w:rPr>
          <w:b w:val="0"/>
          <w:bCs w:val="0"/>
          <w:sz w:val="24"/>
        </w:rPr>
        <w:t xml:space="preserve">Historically, dense urban living – </w:t>
      </w:r>
      <w:r w:rsidR="00CD0DCA">
        <w:rPr>
          <w:b w:val="0"/>
          <w:bCs w:val="0"/>
          <w:sz w:val="24"/>
        </w:rPr>
        <w:t xml:space="preserve">most often found in large </w:t>
      </w:r>
      <w:r w:rsidR="009F4ACF">
        <w:rPr>
          <w:b w:val="0"/>
          <w:bCs w:val="0"/>
          <w:sz w:val="24"/>
        </w:rPr>
        <w:t xml:space="preserve">cities – has </w:t>
      </w:r>
      <w:r w:rsidR="00801EA8">
        <w:rPr>
          <w:b w:val="0"/>
          <w:bCs w:val="0"/>
          <w:sz w:val="24"/>
        </w:rPr>
        <w:t xml:space="preserve">had a </w:t>
      </w:r>
      <w:r w:rsidR="00CD0DCA">
        <w:rPr>
          <w:b w:val="0"/>
          <w:bCs w:val="0"/>
          <w:sz w:val="24"/>
        </w:rPr>
        <w:t>mixed</w:t>
      </w:r>
      <w:r w:rsidR="00801EA8">
        <w:rPr>
          <w:b w:val="0"/>
          <w:bCs w:val="0"/>
          <w:sz w:val="24"/>
        </w:rPr>
        <w:t xml:space="preserve"> reputation. </w:t>
      </w:r>
      <w:r w:rsidR="009F4ACF">
        <w:rPr>
          <w:b w:val="0"/>
          <w:bCs w:val="0"/>
          <w:sz w:val="24"/>
        </w:rPr>
        <w:t>Jacobs (1961)</w:t>
      </w:r>
      <w:r w:rsidR="00CD0DCA">
        <w:rPr>
          <w:b w:val="0"/>
          <w:bCs w:val="0"/>
          <w:sz w:val="24"/>
        </w:rPr>
        <w:t xml:space="preserve"> </w:t>
      </w:r>
      <w:r w:rsidR="00B04768">
        <w:rPr>
          <w:b w:val="0"/>
          <w:bCs w:val="0"/>
          <w:sz w:val="24"/>
        </w:rPr>
        <w:t xml:space="preserve">reviewed </w:t>
      </w:r>
      <w:r w:rsidR="009F4ACF">
        <w:rPr>
          <w:b w:val="0"/>
          <w:bCs w:val="0"/>
          <w:sz w:val="24"/>
        </w:rPr>
        <w:t>the</w:t>
      </w:r>
      <w:r w:rsidR="00801EA8">
        <w:rPr>
          <w:b w:val="0"/>
          <w:bCs w:val="0"/>
          <w:sz w:val="24"/>
        </w:rPr>
        <w:t xml:space="preserve"> older literature on health </w:t>
      </w:r>
      <w:r w:rsidR="009F4ACF">
        <w:rPr>
          <w:b w:val="0"/>
          <w:bCs w:val="0"/>
          <w:sz w:val="24"/>
        </w:rPr>
        <w:t xml:space="preserve">and </w:t>
      </w:r>
      <w:r w:rsidR="00801EA8">
        <w:rPr>
          <w:b w:val="0"/>
          <w:bCs w:val="0"/>
          <w:sz w:val="24"/>
        </w:rPr>
        <w:t xml:space="preserve">the </w:t>
      </w:r>
      <w:r w:rsidR="009F4ACF">
        <w:rPr>
          <w:b w:val="0"/>
          <w:bCs w:val="0"/>
          <w:sz w:val="24"/>
        </w:rPr>
        <w:t xml:space="preserve">squalor of cities </w:t>
      </w:r>
      <w:r w:rsidR="00B04768">
        <w:rPr>
          <w:b w:val="0"/>
          <w:bCs w:val="0"/>
          <w:sz w:val="24"/>
        </w:rPr>
        <w:t xml:space="preserve">and combined it </w:t>
      </w:r>
      <w:r w:rsidR="009F4ACF">
        <w:rPr>
          <w:b w:val="0"/>
          <w:bCs w:val="0"/>
          <w:sz w:val="24"/>
        </w:rPr>
        <w:t xml:space="preserve">with the </w:t>
      </w:r>
      <w:r w:rsidR="00CD0DCA">
        <w:rPr>
          <w:b w:val="0"/>
          <w:bCs w:val="0"/>
          <w:sz w:val="24"/>
        </w:rPr>
        <w:t xml:space="preserve">newer </w:t>
      </w:r>
      <w:r w:rsidR="009F4ACF">
        <w:rPr>
          <w:b w:val="0"/>
          <w:bCs w:val="0"/>
          <w:sz w:val="24"/>
        </w:rPr>
        <w:t>ne</w:t>
      </w:r>
      <w:r w:rsidR="006F4ED1">
        <w:rPr>
          <w:b w:val="0"/>
          <w:bCs w:val="0"/>
          <w:sz w:val="24"/>
        </w:rPr>
        <w:t xml:space="preserve">gative </w:t>
      </w:r>
      <w:r w:rsidR="009F4ACF">
        <w:rPr>
          <w:b w:val="0"/>
          <w:bCs w:val="0"/>
          <w:sz w:val="24"/>
        </w:rPr>
        <w:t xml:space="preserve">experiences of </w:t>
      </w:r>
      <w:r w:rsidR="00CD0DCA">
        <w:rPr>
          <w:b w:val="0"/>
          <w:bCs w:val="0"/>
          <w:sz w:val="24"/>
        </w:rPr>
        <w:t xml:space="preserve">Post War </w:t>
      </w:r>
      <w:r w:rsidR="009F4ACF">
        <w:rPr>
          <w:b w:val="0"/>
          <w:bCs w:val="0"/>
          <w:sz w:val="24"/>
        </w:rPr>
        <w:t>urban renewal</w:t>
      </w:r>
      <w:r w:rsidR="001909E1">
        <w:rPr>
          <w:b w:val="0"/>
          <w:bCs w:val="0"/>
          <w:sz w:val="24"/>
        </w:rPr>
        <w:t xml:space="preserve">. She </w:t>
      </w:r>
      <w:r w:rsidR="009F4ACF">
        <w:rPr>
          <w:b w:val="0"/>
          <w:bCs w:val="0"/>
          <w:sz w:val="24"/>
        </w:rPr>
        <w:t>suggest</w:t>
      </w:r>
      <w:r w:rsidR="001909E1">
        <w:rPr>
          <w:b w:val="0"/>
          <w:bCs w:val="0"/>
          <w:sz w:val="24"/>
        </w:rPr>
        <w:t xml:space="preserve">ed </w:t>
      </w:r>
      <w:r w:rsidR="00CD0DCA">
        <w:rPr>
          <w:b w:val="0"/>
          <w:bCs w:val="0"/>
          <w:sz w:val="24"/>
        </w:rPr>
        <w:t xml:space="preserve">that </w:t>
      </w:r>
      <w:r w:rsidR="001909E1">
        <w:rPr>
          <w:b w:val="0"/>
          <w:bCs w:val="0"/>
          <w:sz w:val="24"/>
        </w:rPr>
        <w:t xml:space="preserve">lower density living, albeit with </w:t>
      </w:r>
      <w:r w:rsidR="00801EA8">
        <w:rPr>
          <w:b w:val="0"/>
          <w:bCs w:val="0"/>
          <w:sz w:val="24"/>
        </w:rPr>
        <w:t>planned mixed use</w:t>
      </w:r>
      <w:r w:rsidR="00B04768">
        <w:rPr>
          <w:b w:val="0"/>
          <w:bCs w:val="0"/>
          <w:sz w:val="24"/>
        </w:rPr>
        <w:t xml:space="preserve">, </w:t>
      </w:r>
      <w:r w:rsidR="00CD0DCA">
        <w:rPr>
          <w:b w:val="0"/>
          <w:bCs w:val="0"/>
          <w:sz w:val="24"/>
        </w:rPr>
        <w:t xml:space="preserve">offered a better </w:t>
      </w:r>
      <w:r w:rsidR="00B04768">
        <w:rPr>
          <w:b w:val="0"/>
          <w:bCs w:val="0"/>
          <w:sz w:val="24"/>
        </w:rPr>
        <w:t xml:space="preserve">human </w:t>
      </w:r>
      <w:r w:rsidR="00CD0DCA">
        <w:rPr>
          <w:b w:val="0"/>
          <w:bCs w:val="0"/>
          <w:sz w:val="24"/>
        </w:rPr>
        <w:t xml:space="preserve">environment. </w:t>
      </w:r>
      <w:r w:rsidR="001909E1">
        <w:rPr>
          <w:b w:val="0"/>
          <w:bCs w:val="0"/>
          <w:sz w:val="24"/>
        </w:rPr>
        <w:t xml:space="preserve"> </w:t>
      </w:r>
      <w:r w:rsidR="009F4ACF">
        <w:rPr>
          <w:b w:val="0"/>
          <w:bCs w:val="0"/>
          <w:sz w:val="24"/>
        </w:rPr>
        <w:t xml:space="preserve">In the more recent literature </w:t>
      </w:r>
      <w:r w:rsidR="00CD0DCA">
        <w:rPr>
          <w:b w:val="0"/>
          <w:bCs w:val="0"/>
          <w:sz w:val="24"/>
        </w:rPr>
        <w:t>from</w:t>
      </w:r>
      <w:r w:rsidR="009F4ACF">
        <w:rPr>
          <w:b w:val="0"/>
          <w:bCs w:val="0"/>
          <w:sz w:val="24"/>
        </w:rPr>
        <w:t xml:space="preserve"> Urban Economics, there </w:t>
      </w:r>
      <w:r w:rsidR="00B04768">
        <w:rPr>
          <w:b w:val="0"/>
          <w:bCs w:val="0"/>
          <w:sz w:val="24"/>
        </w:rPr>
        <w:t xml:space="preserve">has been </w:t>
      </w:r>
      <w:r w:rsidR="009F4ACF">
        <w:rPr>
          <w:b w:val="0"/>
          <w:bCs w:val="0"/>
          <w:sz w:val="24"/>
        </w:rPr>
        <w:t>a resurgent i</w:t>
      </w:r>
      <w:r w:rsidR="001909E1">
        <w:rPr>
          <w:b w:val="0"/>
          <w:bCs w:val="0"/>
          <w:sz w:val="24"/>
        </w:rPr>
        <w:t xml:space="preserve">nterest in </w:t>
      </w:r>
      <w:r w:rsidR="00B04768">
        <w:rPr>
          <w:b w:val="0"/>
          <w:bCs w:val="0"/>
          <w:sz w:val="24"/>
        </w:rPr>
        <w:t xml:space="preserve">urban </w:t>
      </w:r>
      <w:r w:rsidR="001909E1">
        <w:rPr>
          <w:b w:val="0"/>
          <w:bCs w:val="0"/>
          <w:sz w:val="24"/>
        </w:rPr>
        <w:t>“increasing returns” (Krugman, 1991)</w:t>
      </w:r>
      <w:r w:rsidR="00CD0DCA">
        <w:rPr>
          <w:b w:val="0"/>
          <w:bCs w:val="0"/>
          <w:sz w:val="24"/>
        </w:rPr>
        <w:t xml:space="preserve">. </w:t>
      </w:r>
      <w:r w:rsidR="001909E1">
        <w:rPr>
          <w:b w:val="0"/>
          <w:bCs w:val="0"/>
          <w:sz w:val="24"/>
        </w:rPr>
        <w:t xml:space="preserve"> </w:t>
      </w:r>
      <w:r w:rsidR="00B04768">
        <w:rPr>
          <w:b w:val="0"/>
          <w:bCs w:val="0"/>
          <w:sz w:val="24"/>
        </w:rPr>
        <w:t xml:space="preserve">Krugman </w:t>
      </w:r>
      <w:r w:rsidR="001909E1">
        <w:rPr>
          <w:b w:val="0"/>
          <w:bCs w:val="0"/>
          <w:sz w:val="24"/>
        </w:rPr>
        <w:t>argued that in</w:t>
      </w:r>
      <w:r w:rsidR="009F4ACF">
        <w:rPr>
          <w:b w:val="0"/>
          <w:bCs w:val="0"/>
          <w:sz w:val="24"/>
        </w:rPr>
        <w:t>crease</w:t>
      </w:r>
      <w:r w:rsidR="001909E1">
        <w:rPr>
          <w:b w:val="0"/>
          <w:bCs w:val="0"/>
          <w:sz w:val="24"/>
        </w:rPr>
        <w:t>d</w:t>
      </w:r>
      <w:r w:rsidR="009F4ACF">
        <w:rPr>
          <w:b w:val="0"/>
          <w:bCs w:val="0"/>
          <w:sz w:val="24"/>
        </w:rPr>
        <w:t xml:space="preserve"> productivity </w:t>
      </w:r>
      <w:r w:rsidR="00B7551C">
        <w:rPr>
          <w:b w:val="0"/>
          <w:bCs w:val="0"/>
          <w:sz w:val="24"/>
        </w:rPr>
        <w:t xml:space="preserve">and consumption diversity </w:t>
      </w:r>
      <w:r w:rsidR="00CD0DCA">
        <w:rPr>
          <w:b w:val="0"/>
          <w:bCs w:val="0"/>
          <w:sz w:val="24"/>
        </w:rPr>
        <w:t xml:space="preserve">result when </w:t>
      </w:r>
      <w:r w:rsidR="001909E1">
        <w:rPr>
          <w:b w:val="0"/>
          <w:bCs w:val="0"/>
          <w:sz w:val="24"/>
        </w:rPr>
        <w:t xml:space="preserve">economic activity is agglomerated. </w:t>
      </w:r>
      <w:r w:rsidR="009F4ACF">
        <w:rPr>
          <w:b w:val="0"/>
          <w:bCs w:val="0"/>
          <w:sz w:val="24"/>
        </w:rPr>
        <w:t>The</w:t>
      </w:r>
      <w:r w:rsidR="006F4ED1">
        <w:rPr>
          <w:b w:val="0"/>
          <w:bCs w:val="0"/>
          <w:sz w:val="24"/>
        </w:rPr>
        <w:t xml:space="preserve"> empirical work </w:t>
      </w:r>
      <w:r w:rsidR="001909E1">
        <w:rPr>
          <w:b w:val="0"/>
          <w:bCs w:val="0"/>
          <w:sz w:val="24"/>
        </w:rPr>
        <w:t xml:space="preserve">that followed </w:t>
      </w:r>
      <w:r w:rsidR="00CD0DCA">
        <w:rPr>
          <w:b w:val="0"/>
          <w:bCs w:val="0"/>
          <w:sz w:val="24"/>
        </w:rPr>
        <w:t xml:space="preserve">this </w:t>
      </w:r>
      <w:r w:rsidR="001909E1">
        <w:rPr>
          <w:b w:val="0"/>
          <w:bCs w:val="0"/>
          <w:sz w:val="24"/>
        </w:rPr>
        <w:t xml:space="preserve">tended to support higher </w:t>
      </w:r>
      <w:r w:rsidR="006F4ED1">
        <w:rPr>
          <w:b w:val="0"/>
          <w:bCs w:val="0"/>
          <w:sz w:val="24"/>
        </w:rPr>
        <w:t xml:space="preserve">urban wages, </w:t>
      </w:r>
      <w:r w:rsidR="001909E1">
        <w:rPr>
          <w:b w:val="0"/>
          <w:bCs w:val="0"/>
          <w:sz w:val="24"/>
        </w:rPr>
        <w:t xml:space="preserve">greater </w:t>
      </w:r>
      <w:r w:rsidR="006F4ED1">
        <w:rPr>
          <w:b w:val="0"/>
          <w:bCs w:val="0"/>
          <w:sz w:val="24"/>
        </w:rPr>
        <w:t xml:space="preserve">urban productivity and </w:t>
      </w:r>
      <w:r w:rsidR="001909E1">
        <w:rPr>
          <w:b w:val="0"/>
          <w:bCs w:val="0"/>
          <w:sz w:val="24"/>
        </w:rPr>
        <w:t xml:space="preserve">the superior operation of </w:t>
      </w:r>
      <w:r w:rsidR="006F4ED1">
        <w:rPr>
          <w:b w:val="0"/>
          <w:bCs w:val="0"/>
          <w:sz w:val="24"/>
        </w:rPr>
        <w:t>urban labor markets</w:t>
      </w:r>
      <w:r w:rsidR="001909E1">
        <w:rPr>
          <w:b w:val="0"/>
          <w:bCs w:val="0"/>
          <w:sz w:val="24"/>
        </w:rPr>
        <w:t xml:space="preserve">. It </w:t>
      </w:r>
      <w:r w:rsidR="006F4ED1">
        <w:rPr>
          <w:b w:val="0"/>
          <w:bCs w:val="0"/>
          <w:sz w:val="24"/>
        </w:rPr>
        <w:t xml:space="preserve">is quite extensive and we simply cite the paper by </w:t>
      </w:r>
      <w:proofErr w:type="spellStart"/>
      <w:r w:rsidR="006F4ED1">
        <w:rPr>
          <w:b w:val="0"/>
          <w:bCs w:val="0"/>
          <w:sz w:val="24"/>
        </w:rPr>
        <w:t>Cic</w:t>
      </w:r>
      <w:r w:rsidR="00B7551C">
        <w:rPr>
          <w:b w:val="0"/>
          <w:bCs w:val="0"/>
          <w:sz w:val="24"/>
        </w:rPr>
        <w:t>c</w:t>
      </w:r>
      <w:r w:rsidR="006F4ED1">
        <w:rPr>
          <w:b w:val="0"/>
          <w:bCs w:val="0"/>
          <w:sz w:val="24"/>
        </w:rPr>
        <w:t>one</w:t>
      </w:r>
      <w:proofErr w:type="spellEnd"/>
      <w:r w:rsidR="006F4ED1">
        <w:rPr>
          <w:b w:val="0"/>
          <w:bCs w:val="0"/>
          <w:sz w:val="24"/>
        </w:rPr>
        <w:t xml:space="preserve"> and Hall as an example (1996). Most recently, </w:t>
      </w:r>
      <w:proofErr w:type="spellStart"/>
      <w:r w:rsidR="006F4ED1">
        <w:rPr>
          <w:b w:val="0"/>
          <w:bCs w:val="0"/>
          <w:sz w:val="24"/>
        </w:rPr>
        <w:t>Glaeser</w:t>
      </w:r>
      <w:proofErr w:type="spellEnd"/>
      <w:r w:rsidR="006F4ED1">
        <w:rPr>
          <w:b w:val="0"/>
          <w:bCs w:val="0"/>
          <w:sz w:val="24"/>
        </w:rPr>
        <w:t xml:space="preserve"> (2010) has argued that the economic advantages of dense urban living outweigh any disadvantages – so large</w:t>
      </w:r>
      <w:r w:rsidR="001909E1">
        <w:rPr>
          <w:b w:val="0"/>
          <w:bCs w:val="0"/>
          <w:sz w:val="24"/>
        </w:rPr>
        <w:t>,</w:t>
      </w:r>
      <w:r w:rsidR="006F4ED1">
        <w:rPr>
          <w:b w:val="0"/>
          <w:bCs w:val="0"/>
          <w:sz w:val="24"/>
        </w:rPr>
        <w:t xml:space="preserve"> dense cities are in fact civilization’s greatest “Triumph”.  </w:t>
      </w:r>
    </w:p>
    <w:p w14:paraId="0DE7C327" w14:textId="77777777" w:rsidR="006F4ED1" w:rsidRDefault="006F4ED1" w:rsidP="0029034C">
      <w:pPr>
        <w:pStyle w:val="BodyText"/>
        <w:jc w:val="left"/>
        <w:rPr>
          <w:b w:val="0"/>
          <w:bCs w:val="0"/>
          <w:sz w:val="24"/>
        </w:rPr>
      </w:pPr>
    </w:p>
    <w:p w14:paraId="31F29376" w14:textId="2721A6B7" w:rsidR="0029034C" w:rsidRDefault="006F4ED1" w:rsidP="0029034C">
      <w:pPr>
        <w:pStyle w:val="BodyText"/>
        <w:jc w:val="left"/>
        <w:rPr>
          <w:b w:val="0"/>
          <w:bCs w:val="0"/>
          <w:sz w:val="24"/>
        </w:rPr>
      </w:pPr>
      <w:r>
        <w:rPr>
          <w:b w:val="0"/>
          <w:bCs w:val="0"/>
          <w:sz w:val="24"/>
        </w:rPr>
        <w:tab/>
      </w:r>
      <w:r w:rsidR="00CD0DCA">
        <w:rPr>
          <w:b w:val="0"/>
          <w:bCs w:val="0"/>
          <w:sz w:val="24"/>
        </w:rPr>
        <w:t>With</w:t>
      </w:r>
      <w:r w:rsidR="0029034C">
        <w:rPr>
          <w:b w:val="0"/>
          <w:bCs w:val="0"/>
          <w:sz w:val="24"/>
        </w:rPr>
        <w:t xml:space="preserve"> the onslaught </w:t>
      </w:r>
      <w:r w:rsidR="00CD0DCA">
        <w:rPr>
          <w:b w:val="0"/>
          <w:bCs w:val="0"/>
          <w:sz w:val="24"/>
        </w:rPr>
        <w:t xml:space="preserve">of the Covid-19 virus, however, the media and medical community </w:t>
      </w:r>
      <w:r w:rsidR="0029034C">
        <w:rPr>
          <w:b w:val="0"/>
          <w:bCs w:val="0"/>
          <w:sz w:val="24"/>
        </w:rPr>
        <w:t xml:space="preserve">have begun to suggest that </w:t>
      </w:r>
      <w:r w:rsidR="00C5516A">
        <w:rPr>
          <w:b w:val="0"/>
          <w:bCs w:val="0"/>
          <w:sz w:val="24"/>
        </w:rPr>
        <w:t xml:space="preserve">intrinsically </w:t>
      </w:r>
      <w:r w:rsidR="0029034C">
        <w:rPr>
          <w:b w:val="0"/>
          <w:bCs w:val="0"/>
          <w:sz w:val="24"/>
        </w:rPr>
        <w:t xml:space="preserve">there </w:t>
      </w:r>
      <w:r w:rsidR="00AA1661">
        <w:rPr>
          <w:b w:val="0"/>
          <w:bCs w:val="0"/>
          <w:sz w:val="24"/>
        </w:rPr>
        <w:t>might be h</w:t>
      </w:r>
      <w:r w:rsidR="0029034C">
        <w:rPr>
          <w:b w:val="0"/>
          <w:bCs w:val="0"/>
          <w:sz w:val="24"/>
        </w:rPr>
        <w:t xml:space="preserve">igher </w:t>
      </w:r>
      <w:r w:rsidR="00C5516A">
        <w:rPr>
          <w:b w:val="0"/>
          <w:bCs w:val="0"/>
          <w:sz w:val="24"/>
        </w:rPr>
        <w:t xml:space="preserve">infection </w:t>
      </w:r>
      <w:r w:rsidR="0029034C">
        <w:rPr>
          <w:b w:val="0"/>
          <w:bCs w:val="0"/>
          <w:sz w:val="24"/>
        </w:rPr>
        <w:t xml:space="preserve">rates (percapita) in urban as opposed to </w:t>
      </w:r>
      <w:r w:rsidR="00CD0DCA">
        <w:rPr>
          <w:b w:val="0"/>
          <w:bCs w:val="0"/>
          <w:sz w:val="24"/>
        </w:rPr>
        <w:t xml:space="preserve">less dense or </w:t>
      </w:r>
      <w:r w:rsidR="0029034C">
        <w:rPr>
          <w:b w:val="0"/>
          <w:bCs w:val="0"/>
          <w:sz w:val="24"/>
        </w:rPr>
        <w:t xml:space="preserve">rural areas. Living farther apart is certainly a helpful </w:t>
      </w:r>
      <w:r w:rsidR="00B04768">
        <w:rPr>
          <w:b w:val="0"/>
          <w:bCs w:val="0"/>
          <w:sz w:val="24"/>
        </w:rPr>
        <w:t xml:space="preserve">first </w:t>
      </w:r>
      <w:r w:rsidR="0029034C">
        <w:rPr>
          <w:b w:val="0"/>
          <w:bCs w:val="0"/>
          <w:sz w:val="24"/>
        </w:rPr>
        <w:t xml:space="preserve">step in </w:t>
      </w:r>
      <w:r w:rsidR="00AA1661">
        <w:rPr>
          <w:b w:val="0"/>
          <w:bCs w:val="0"/>
          <w:sz w:val="24"/>
        </w:rPr>
        <w:t xml:space="preserve">creating greater </w:t>
      </w:r>
      <w:r w:rsidR="0029034C">
        <w:rPr>
          <w:b w:val="0"/>
          <w:bCs w:val="0"/>
          <w:sz w:val="24"/>
        </w:rPr>
        <w:t xml:space="preserve">“social distancing”, and the latter </w:t>
      </w:r>
      <w:r w:rsidR="00C5516A">
        <w:rPr>
          <w:b w:val="0"/>
          <w:bCs w:val="0"/>
          <w:sz w:val="24"/>
        </w:rPr>
        <w:t xml:space="preserve">appears </w:t>
      </w:r>
      <w:r w:rsidR="0029034C">
        <w:rPr>
          <w:b w:val="0"/>
          <w:bCs w:val="0"/>
          <w:sz w:val="24"/>
        </w:rPr>
        <w:t xml:space="preserve">right now </w:t>
      </w:r>
      <w:r w:rsidR="001909E1">
        <w:rPr>
          <w:b w:val="0"/>
          <w:bCs w:val="0"/>
          <w:sz w:val="24"/>
        </w:rPr>
        <w:t xml:space="preserve">to be </w:t>
      </w:r>
      <w:r w:rsidR="0029034C">
        <w:rPr>
          <w:b w:val="0"/>
          <w:bCs w:val="0"/>
          <w:sz w:val="24"/>
        </w:rPr>
        <w:t xml:space="preserve">the only salve for the virus. Until and if effective vaccines become available – social isolation is the best way to slow or halt the spread of the disease. </w:t>
      </w:r>
    </w:p>
    <w:p w14:paraId="755B07BB" w14:textId="77777777" w:rsidR="0029034C" w:rsidRDefault="0029034C" w:rsidP="0029034C">
      <w:pPr>
        <w:pStyle w:val="BodyText"/>
        <w:jc w:val="left"/>
        <w:rPr>
          <w:b w:val="0"/>
          <w:bCs w:val="0"/>
          <w:sz w:val="24"/>
        </w:rPr>
      </w:pPr>
    </w:p>
    <w:p w14:paraId="3C22AFB9" w14:textId="10427880" w:rsidR="0029034C" w:rsidRDefault="0029034C" w:rsidP="0029034C">
      <w:pPr>
        <w:pStyle w:val="BodyText"/>
        <w:jc w:val="left"/>
        <w:rPr>
          <w:b w:val="0"/>
          <w:bCs w:val="0"/>
          <w:sz w:val="24"/>
        </w:rPr>
      </w:pPr>
      <w:r>
        <w:rPr>
          <w:b w:val="0"/>
          <w:bCs w:val="0"/>
          <w:sz w:val="24"/>
        </w:rPr>
        <w:tab/>
        <w:t>In this paper we use a newly released data base of recorded</w:t>
      </w:r>
      <w:r w:rsidR="00D47007">
        <w:rPr>
          <w:b w:val="0"/>
          <w:bCs w:val="0"/>
          <w:sz w:val="24"/>
        </w:rPr>
        <w:t xml:space="preserve"> virus cases per capita (as of 5</w:t>
      </w:r>
      <w:r>
        <w:rPr>
          <w:b w:val="0"/>
          <w:bCs w:val="0"/>
          <w:sz w:val="24"/>
        </w:rPr>
        <w:t>/</w:t>
      </w:r>
      <w:r w:rsidR="00D47007">
        <w:rPr>
          <w:b w:val="0"/>
          <w:bCs w:val="0"/>
          <w:sz w:val="24"/>
        </w:rPr>
        <w:t>6</w:t>
      </w:r>
      <w:r>
        <w:rPr>
          <w:b w:val="0"/>
          <w:bCs w:val="0"/>
          <w:sz w:val="24"/>
        </w:rPr>
        <w:t>/20) across the 351 cities and towns that fully cover the Commonweal</w:t>
      </w:r>
      <w:r w:rsidR="00C5516A">
        <w:rPr>
          <w:b w:val="0"/>
          <w:bCs w:val="0"/>
          <w:sz w:val="24"/>
        </w:rPr>
        <w:t xml:space="preserve">th of Massachusetts. There is plenty of accompanying </w:t>
      </w:r>
      <w:r>
        <w:rPr>
          <w:b w:val="0"/>
          <w:bCs w:val="0"/>
          <w:sz w:val="24"/>
        </w:rPr>
        <w:t>static data about the differences between these municipalities</w:t>
      </w:r>
      <w:r w:rsidR="004935FC">
        <w:rPr>
          <w:b w:val="0"/>
          <w:bCs w:val="0"/>
          <w:sz w:val="24"/>
        </w:rPr>
        <w:t>,</w:t>
      </w:r>
      <w:r>
        <w:rPr>
          <w:b w:val="0"/>
          <w:bCs w:val="0"/>
          <w:sz w:val="24"/>
        </w:rPr>
        <w:t xml:space="preserve"> but we focus on three hypothesized factors that may impact the growth of the disease. The first is </w:t>
      </w:r>
      <w:r w:rsidR="001E283B">
        <w:rPr>
          <w:b w:val="0"/>
          <w:bCs w:val="0"/>
          <w:sz w:val="24"/>
        </w:rPr>
        <w:t xml:space="preserve">percapita income. The second and third relate to how “urban” a community is. In addition to overall population density, </w:t>
      </w:r>
      <w:r w:rsidR="004935FC">
        <w:rPr>
          <w:b w:val="0"/>
          <w:bCs w:val="0"/>
          <w:sz w:val="24"/>
        </w:rPr>
        <w:t>our</w:t>
      </w:r>
      <w:r>
        <w:rPr>
          <w:b w:val="0"/>
          <w:bCs w:val="0"/>
          <w:sz w:val="24"/>
        </w:rPr>
        <w:t xml:space="preserve"> third </w:t>
      </w:r>
      <w:r w:rsidR="001E283B">
        <w:rPr>
          <w:b w:val="0"/>
          <w:bCs w:val="0"/>
          <w:sz w:val="24"/>
        </w:rPr>
        <w:t xml:space="preserve">variable measures </w:t>
      </w:r>
      <w:r>
        <w:rPr>
          <w:b w:val="0"/>
          <w:bCs w:val="0"/>
          <w:sz w:val="24"/>
        </w:rPr>
        <w:t xml:space="preserve">the prevalence of commercial and industrial facilities </w:t>
      </w:r>
      <w:r w:rsidR="006F4ED1">
        <w:rPr>
          <w:b w:val="0"/>
          <w:bCs w:val="0"/>
          <w:sz w:val="24"/>
        </w:rPr>
        <w:t>(</w:t>
      </w:r>
      <w:r w:rsidR="001909E1">
        <w:rPr>
          <w:b w:val="0"/>
          <w:bCs w:val="0"/>
          <w:sz w:val="24"/>
        </w:rPr>
        <w:t xml:space="preserve">as a </w:t>
      </w:r>
      <w:r w:rsidR="006F4ED1">
        <w:rPr>
          <w:b w:val="0"/>
          <w:bCs w:val="0"/>
          <w:sz w:val="24"/>
        </w:rPr>
        <w:t>share</w:t>
      </w:r>
      <w:r w:rsidR="001E283B">
        <w:rPr>
          <w:b w:val="0"/>
          <w:bCs w:val="0"/>
          <w:sz w:val="24"/>
        </w:rPr>
        <w:t xml:space="preserve"> of l</w:t>
      </w:r>
      <w:r w:rsidR="001909E1">
        <w:rPr>
          <w:b w:val="0"/>
          <w:bCs w:val="0"/>
          <w:sz w:val="24"/>
        </w:rPr>
        <w:t>and use</w:t>
      </w:r>
      <w:r w:rsidR="006F4ED1">
        <w:rPr>
          <w:b w:val="0"/>
          <w:bCs w:val="0"/>
          <w:sz w:val="24"/>
        </w:rPr>
        <w:t xml:space="preserve">) </w:t>
      </w:r>
      <w:r>
        <w:rPr>
          <w:b w:val="0"/>
          <w:bCs w:val="0"/>
          <w:sz w:val="24"/>
        </w:rPr>
        <w:t xml:space="preserve">in a town. These latter </w:t>
      </w:r>
      <w:r w:rsidR="001909E1">
        <w:rPr>
          <w:b w:val="0"/>
          <w:bCs w:val="0"/>
          <w:sz w:val="24"/>
        </w:rPr>
        <w:t>activities</w:t>
      </w:r>
      <w:r>
        <w:rPr>
          <w:b w:val="0"/>
          <w:bCs w:val="0"/>
          <w:sz w:val="24"/>
        </w:rPr>
        <w:t xml:space="preserve"> are where people </w:t>
      </w:r>
      <w:r w:rsidR="00AA1661">
        <w:rPr>
          <w:b w:val="0"/>
          <w:bCs w:val="0"/>
          <w:sz w:val="24"/>
        </w:rPr>
        <w:t xml:space="preserve">tend to </w:t>
      </w:r>
      <w:r>
        <w:rPr>
          <w:b w:val="0"/>
          <w:bCs w:val="0"/>
          <w:sz w:val="24"/>
        </w:rPr>
        <w:t xml:space="preserve">work and socialize in close proximity. We find </w:t>
      </w:r>
      <w:r w:rsidR="004935FC">
        <w:rPr>
          <w:b w:val="0"/>
          <w:bCs w:val="0"/>
          <w:sz w:val="24"/>
        </w:rPr>
        <w:t xml:space="preserve">very </w:t>
      </w:r>
      <w:r>
        <w:rPr>
          <w:b w:val="0"/>
          <w:bCs w:val="0"/>
          <w:sz w:val="24"/>
        </w:rPr>
        <w:t xml:space="preserve">strong evidence that the disease is more prevalent in dense towns, where there is a large fraction of commercial and industrial land use. </w:t>
      </w:r>
      <w:r w:rsidR="00C5516A">
        <w:rPr>
          <w:b w:val="0"/>
          <w:bCs w:val="0"/>
          <w:sz w:val="24"/>
        </w:rPr>
        <w:t xml:space="preserve">The income result is more mixed. </w:t>
      </w:r>
      <w:r>
        <w:rPr>
          <w:b w:val="0"/>
          <w:bCs w:val="0"/>
          <w:sz w:val="24"/>
        </w:rPr>
        <w:t xml:space="preserve">In this </w:t>
      </w:r>
      <w:r w:rsidR="00C5516A">
        <w:rPr>
          <w:b w:val="0"/>
          <w:bCs w:val="0"/>
          <w:sz w:val="24"/>
        </w:rPr>
        <w:t>data</w:t>
      </w:r>
      <w:r>
        <w:rPr>
          <w:b w:val="0"/>
          <w:bCs w:val="0"/>
          <w:sz w:val="24"/>
        </w:rPr>
        <w:t>, “urban living</w:t>
      </w:r>
      <w:r w:rsidR="00C5516A">
        <w:rPr>
          <w:b w:val="0"/>
          <w:bCs w:val="0"/>
          <w:sz w:val="24"/>
        </w:rPr>
        <w:t>”</w:t>
      </w:r>
      <w:r>
        <w:rPr>
          <w:b w:val="0"/>
          <w:bCs w:val="0"/>
          <w:sz w:val="24"/>
        </w:rPr>
        <w:t xml:space="preserve"> seems to have inherent risks that pertain to </w:t>
      </w:r>
      <w:r w:rsidR="006F4ED1">
        <w:rPr>
          <w:b w:val="0"/>
          <w:bCs w:val="0"/>
          <w:sz w:val="24"/>
        </w:rPr>
        <w:t xml:space="preserve">the </w:t>
      </w:r>
      <w:r>
        <w:rPr>
          <w:b w:val="0"/>
          <w:bCs w:val="0"/>
          <w:sz w:val="24"/>
        </w:rPr>
        <w:t xml:space="preserve">current </w:t>
      </w:r>
      <w:r w:rsidR="006F4ED1">
        <w:rPr>
          <w:b w:val="0"/>
          <w:bCs w:val="0"/>
          <w:sz w:val="24"/>
        </w:rPr>
        <w:t xml:space="preserve">virus, </w:t>
      </w:r>
      <w:r>
        <w:rPr>
          <w:b w:val="0"/>
          <w:bCs w:val="0"/>
          <w:sz w:val="24"/>
        </w:rPr>
        <w:t xml:space="preserve">and </w:t>
      </w:r>
      <w:r w:rsidR="00EB75E3">
        <w:rPr>
          <w:b w:val="0"/>
          <w:bCs w:val="0"/>
          <w:sz w:val="24"/>
        </w:rPr>
        <w:t>possibly</w:t>
      </w:r>
      <w:r>
        <w:rPr>
          <w:b w:val="0"/>
          <w:bCs w:val="0"/>
          <w:sz w:val="24"/>
        </w:rPr>
        <w:t xml:space="preserve"> future </w:t>
      </w:r>
      <w:r w:rsidR="004873E7">
        <w:rPr>
          <w:b w:val="0"/>
          <w:bCs w:val="0"/>
          <w:sz w:val="24"/>
        </w:rPr>
        <w:t xml:space="preserve">other </w:t>
      </w:r>
      <w:r>
        <w:rPr>
          <w:b w:val="0"/>
          <w:bCs w:val="0"/>
          <w:sz w:val="24"/>
        </w:rPr>
        <w:t>infectious diseases</w:t>
      </w:r>
      <w:r w:rsidR="00B7551C">
        <w:rPr>
          <w:b w:val="0"/>
          <w:bCs w:val="0"/>
          <w:sz w:val="24"/>
        </w:rPr>
        <w:t xml:space="preserve"> as well</w:t>
      </w:r>
      <w:r>
        <w:rPr>
          <w:b w:val="0"/>
          <w:bCs w:val="0"/>
          <w:sz w:val="24"/>
        </w:rPr>
        <w:t xml:space="preserve">.    </w:t>
      </w:r>
    </w:p>
    <w:p w14:paraId="1CAB1CD1" w14:textId="77777777" w:rsidR="0029034C" w:rsidRDefault="00B74F51" w:rsidP="000F7201">
      <w:r>
        <w:tab/>
      </w:r>
    </w:p>
    <w:p w14:paraId="3FBFCCDA" w14:textId="77777777" w:rsidR="0029034C" w:rsidRDefault="0029034C" w:rsidP="000F7201"/>
    <w:p w14:paraId="1C5F39F7" w14:textId="339AA87A" w:rsidR="007F22AD" w:rsidRDefault="007F22AD" w:rsidP="007F22AD">
      <w:pPr>
        <w:rPr>
          <w:b/>
        </w:rPr>
      </w:pPr>
      <w:r>
        <w:rPr>
          <w:b/>
        </w:rPr>
        <w:t xml:space="preserve">II. </w:t>
      </w:r>
      <w:r w:rsidR="00D1471F">
        <w:rPr>
          <w:b/>
        </w:rPr>
        <w:t xml:space="preserve">Modeling </w:t>
      </w:r>
      <w:r w:rsidR="005E63FE">
        <w:rPr>
          <w:b/>
        </w:rPr>
        <w:t>Covid-19</w:t>
      </w:r>
      <w:r>
        <w:rPr>
          <w:b/>
        </w:rPr>
        <w:t xml:space="preserve"> </w:t>
      </w:r>
      <w:r w:rsidR="0029034C">
        <w:rPr>
          <w:b/>
        </w:rPr>
        <w:t>Infections in a cross section of cities and towns</w:t>
      </w:r>
      <w:r>
        <w:rPr>
          <w:b/>
        </w:rPr>
        <w:t xml:space="preserve">  </w:t>
      </w:r>
      <w:r w:rsidRPr="00020451">
        <w:rPr>
          <w:b/>
        </w:rPr>
        <w:t xml:space="preserve"> </w:t>
      </w:r>
    </w:p>
    <w:p w14:paraId="0C3F7CEB" w14:textId="77777777" w:rsidR="007F22AD" w:rsidRDefault="007F22AD" w:rsidP="007F22AD">
      <w:pPr>
        <w:rPr>
          <w:b/>
        </w:rPr>
      </w:pPr>
    </w:p>
    <w:p w14:paraId="7AA80215" w14:textId="462F16CF" w:rsidR="002E0402" w:rsidRDefault="00272852" w:rsidP="008F79A9">
      <w:r>
        <w:tab/>
      </w:r>
      <w:r w:rsidR="002E0402">
        <w:t xml:space="preserve">Our approach </w:t>
      </w:r>
      <w:r w:rsidR="00297276">
        <w:t xml:space="preserve">in this paper is </w:t>
      </w:r>
      <w:r w:rsidR="0029034C">
        <w:t xml:space="preserve">to provide a very simple cross-section analysis of the percapita infection rate on 4/15/2020 </w:t>
      </w:r>
      <w:r w:rsidR="0087010B">
        <w:t xml:space="preserve">and then </w:t>
      </w:r>
      <w:r w:rsidR="00D47007">
        <w:t xml:space="preserve">again </w:t>
      </w:r>
      <w:r w:rsidR="0087010B">
        <w:t xml:space="preserve">on 5/6/20 </w:t>
      </w:r>
      <w:r w:rsidR="0029034C">
        <w:t xml:space="preserve">for most of the Commonwealth’s 351 cities and towns. Unlike our previous paper (SSRN </w:t>
      </w:r>
      <w:r w:rsidR="001909E1">
        <w:t>3570540</w:t>
      </w:r>
      <w:r w:rsidR="0029034C">
        <w:t xml:space="preserve">) we do not have the </w:t>
      </w:r>
      <w:r w:rsidR="00B247CC">
        <w:t xml:space="preserve">daily </w:t>
      </w:r>
      <w:r w:rsidR="0029034C">
        <w:t xml:space="preserve">history of cases over time and so cannot relate the disease incidence at a particular time to the days </w:t>
      </w:r>
      <w:r w:rsidR="00B247CC">
        <w:t xml:space="preserve">since </w:t>
      </w:r>
      <w:r w:rsidR="0029034C">
        <w:t xml:space="preserve">it first began in a particular town. </w:t>
      </w:r>
      <w:r w:rsidR="00B247CC">
        <w:t>This</w:t>
      </w:r>
      <w:r w:rsidR="0029034C">
        <w:t xml:space="preserve"> omission may not </w:t>
      </w:r>
      <w:r w:rsidR="00EB75E3">
        <w:t>be that serious however</w:t>
      </w:r>
      <w:r w:rsidR="00B247CC" w:rsidRPr="00B247CC">
        <w:t xml:space="preserve"> </w:t>
      </w:r>
      <w:r w:rsidR="00C5516A">
        <w:t xml:space="preserve">if we think that the disease was widely “seeded” during a common window. </w:t>
      </w:r>
      <w:r w:rsidR="0029034C">
        <w:t>The disease first appear</w:t>
      </w:r>
      <w:r w:rsidR="001909E1">
        <w:t xml:space="preserve">s to have been seeded in numerous </w:t>
      </w:r>
      <w:r w:rsidR="0029034C">
        <w:t>place</w:t>
      </w:r>
      <w:r w:rsidR="00EB75E3">
        <w:t>s</w:t>
      </w:r>
      <w:r w:rsidR="0029034C">
        <w:t xml:space="preserve"> around the </w:t>
      </w:r>
      <w:r w:rsidR="00896019">
        <w:t>C</w:t>
      </w:r>
      <w:r w:rsidR="0029034C">
        <w:t xml:space="preserve">ommonwealth </w:t>
      </w:r>
      <w:r w:rsidR="001909E1">
        <w:t xml:space="preserve">- all </w:t>
      </w:r>
      <w:r w:rsidR="0029034C">
        <w:t xml:space="preserve">during the </w:t>
      </w:r>
      <w:r w:rsidR="00B247CC">
        <w:t>last few</w:t>
      </w:r>
      <w:r w:rsidR="0029034C">
        <w:t xml:space="preserve"> week</w:t>
      </w:r>
      <w:r w:rsidR="00B247CC">
        <w:t>s</w:t>
      </w:r>
      <w:r w:rsidR="0029034C">
        <w:t xml:space="preserve"> of February. The </w:t>
      </w:r>
      <w:r w:rsidR="00D02736">
        <w:t xml:space="preserve">major </w:t>
      </w:r>
      <w:r w:rsidR="0029034C">
        <w:t>Bio</w:t>
      </w:r>
      <w:r w:rsidR="001909E1">
        <w:t xml:space="preserve"> Tech</w:t>
      </w:r>
      <w:r w:rsidR="0029034C">
        <w:t xml:space="preserve"> conference on 2/2</w:t>
      </w:r>
      <w:r w:rsidR="00D02736">
        <w:t>6</w:t>
      </w:r>
      <w:r w:rsidR="0029034C">
        <w:t xml:space="preserve">/20 </w:t>
      </w:r>
      <w:r w:rsidR="00B247CC">
        <w:t xml:space="preserve">quickly </w:t>
      </w:r>
      <w:r w:rsidR="0029034C">
        <w:t xml:space="preserve">created a </w:t>
      </w:r>
      <w:r w:rsidR="00B247CC">
        <w:t xml:space="preserve">large </w:t>
      </w:r>
      <w:r w:rsidR="0029034C">
        <w:lastRenderedPageBreak/>
        <w:t xml:space="preserve">number of </w:t>
      </w:r>
      <w:r w:rsidR="00B247CC">
        <w:t xml:space="preserve">seeds </w:t>
      </w:r>
      <w:r w:rsidR="00D02736">
        <w:t xml:space="preserve">throughout </w:t>
      </w:r>
      <w:r w:rsidR="00B247CC">
        <w:t xml:space="preserve">the Boston area </w:t>
      </w:r>
      <w:r w:rsidR="00D02736">
        <w:t>(NYT 4/12/20)</w:t>
      </w:r>
      <w:r w:rsidR="00B247CC">
        <w:t xml:space="preserve">, but there were </w:t>
      </w:r>
      <w:r w:rsidR="00C45DC7">
        <w:t>also</w:t>
      </w:r>
      <w:r w:rsidR="00B247CC">
        <w:t xml:space="preserve"> seeds in the western part of the state </w:t>
      </w:r>
      <w:r w:rsidR="00C5516A">
        <w:t xml:space="preserve">at that time </w:t>
      </w:r>
      <w:r w:rsidR="00B247CC">
        <w:t>as well.</w:t>
      </w:r>
      <w:r w:rsidR="008530A2">
        <w:t xml:space="preserve"> </w:t>
      </w:r>
    </w:p>
    <w:p w14:paraId="1A64E11C" w14:textId="77777777" w:rsidR="002E0402" w:rsidRDefault="002E0402" w:rsidP="008F79A9"/>
    <w:p w14:paraId="4E631753" w14:textId="7B5EB883" w:rsidR="00D514CA" w:rsidRDefault="002E0402" w:rsidP="008F79A9">
      <w:r>
        <w:tab/>
      </w:r>
      <w:r w:rsidR="006C7126">
        <w:t xml:space="preserve">Our </w:t>
      </w:r>
      <w:r>
        <w:t xml:space="preserve">Model </w:t>
      </w:r>
      <w:r w:rsidR="00B247CC">
        <w:t xml:space="preserve">allows for some flexibility in functional form and </w:t>
      </w:r>
      <w:r>
        <w:t>is show</w:t>
      </w:r>
      <w:r w:rsidR="0086140B">
        <w:t>n</w:t>
      </w:r>
      <w:r>
        <w:t xml:space="preserve"> below in equation (1).</w:t>
      </w:r>
      <w:r w:rsidR="00B247CC">
        <w:t xml:space="preserve"> </w:t>
      </w:r>
      <w:r>
        <w:t xml:space="preserve"> If </w:t>
      </w:r>
      <w:r w:rsidR="00EB75E3">
        <w:t xml:space="preserve">a covariate </w:t>
      </w:r>
      <w:r w:rsidR="00D514CA">
        <w:t xml:space="preserve">(X) </w:t>
      </w:r>
      <w:r w:rsidR="00EB75E3">
        <w:t>is thought to be a necessary condition for virus cases</w:t>
      </w:r>
      <w:r w:rsidR="00D514CA">
        <w:t xml:space="preserve"> (a zero value implies zero cases)</w:t>
      </w:r>
      <w:r w:rsidR="00EB75E3">
        <w:t xml:space="preserve">, then we enter it multiplicatively (or in logs for the estimating equation). Here the estimated value of the λ </w:t>
      </w:r>
      <w:r>
        <w:t>parameter</w:t>
      </w:r>
      <w:r w:rsidR="00EB75E3">
        <w:t xml:space="preserve"> represents a full elasticity</w:t>
      </w:r>
      <w:r w:rsidR="00C45DC7">
        <w:t xml:space="preserve"> of the variable on the incidence rate</w:t>
      </w:r>
      <w:r w:rsidR="00B247CC">
        <w:t>.</w:t>
      </w:r>
      <w:r w:rsidR="0086140B">
        <w:t xml:space="preserve"> </w:t>
      </w:r>
      <w:r w:rsidR="00D514CA">
        <w:t xml:space="preserve">If </w:t>
      </w:r>
      <w:r w:rsidR="00C5516A">
        <w:t>a</w:t>
      </w:r>
      <w:r w:rsidR="00D514CA">
        <w:t xml:space="preserve"> covariate (Z) need not be present for the virus, then its exponentiated value </w:t>
      </w:r>
      <w:r w:rsidR="00C45DC7">
        <w:t>can be</w:t>
      </w:r>
      <w:r w:rsidR="00D514CA">
        <w:t xml:space="preserve"> entered multiplicatively (or linearly in the estimating equation). Here the estimated value of the parameter λ represents a semi-elasticity (the percentage change in the incidence rate given a unit change in the covariate). </w:t>
      </w:r>
    </w:p>
    <w:p w14:paraId="10DB2EA2" w14:textId="77777777" w:rsidR="00D514CA" w:rsidRDefault="00D514CA" w:rsidP="008F79A9"/>
    <w:p w14:paraId="108C0BDE" w14:textId="4E3602DC" w:rsidR="00B87746" w:rsidRDefault="00FC5109" w:rsidP="008F79A9">
      <w:r>
        <w:tab/>
        <w:t>To statistically estimate the values of</w:t>
      </w:r>
      <w:r w:rsidR="00D47007">
        <w:t xml:space="preserve"> the</w:t>
      </w:r>
      <w:r>
        <w:t xml:space="preserve"> λ (and λ</w:t>
      </w:r>
      <w:r w:rsidRPr="00FC5109">
        <w:rPr>
          <w:vertAlign w:val="subscript"/>
        </w:rPr>
        <w:t>0</w:t>
      </w:r>
      <w:r>
        <w:t xml:space="preserve">) we take natural logs and transform the equation – as in the second line of (1). </w:t>
      </w:r>
      <w:r w:rsidR="00910DD5">
        <w:t xml:space="preserve">If the original source of equation error is multiplicative and normal, then in the transformed equation it will be additive and log </w:t>
      </w:r>
      <w:r w:rsidR="00AC2BF4">
        <w:t>n</w:t>
      </w:r>
      <w:r w:rsidR="00910DD5">
        <w:t>ormal. The statistical standard error of the equation will likely be proportional to the number of cases</w:t>
      </w:r>
      <w:r w:rsidR="002E7F58">
        <w:t xml:space="preserve"> percapita</w:t>
      </w:r>
      <w:r w:rsidR="00910DD5">
        <w:t>, but this is take</w:t>
      </w:r>
      <w:r w:rsidR="00CC3E28">
        <w:t>n</w:t>
      </w:r>
      <w:r w:rsidR="00910DD5">
        <w:t xml:space="preserve"> care of by using Robust Standard Errors</w:t>
      </w:r>
      <w:r w:rsidR="002E7F58">
        <w:t xml:space="preserve">. We make no attempt to </w:t>
      </w:r>
      <w:r w:rsidR="00EB75E3">
        <w:t xml:space="preserve">investigate the possibility of </w:t>
      </w:r>
      <w:r w:rsidR="002E7F58">
        <w:t>spatial autocorrelation (which might occur if neighboring towns tend to infect each other</w:t>
      </w:r>
      <w:r w:rsidR="00150311">
        <w:t>)</w:t>
      </w:r>
      <w:r w:rsidR="00910DD5">
        <w:t xml:space="preserve">. </w:t>
      </w:r>
    </w:p>
    <w:p w14:paraId="67B00A9A" w14:textId="77777777" w:rsidR="00B24C2F" w:rsidRDefault="00B24C2F" w:rsidP="008F79A9"/>
    <w:p w14:paraId="28D3C093" w14:textId="63782949" w:rsidR="004D507C" w:rsidRDefault="00C72F94" w:rsidP="008F79A9">
      <w:r w:rsidRPr="00D514CA">
        <w:rPr>
          <w:position w:val="-126"/>
        </w:rPr>
        <w:object w:dxaOrig="8320" w:dyaOrig="2640" w14:anchorId="56039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140.5pt" o:ole="">
            <v:imagedata r:id="rId13" o:title=""/>
          </v:shape>
          <o:OLEObject Type="Embed" ProgID="Equation.3" ShapeID="_x0000_i1025" DrawAspect="Content" ObjectID="_1654842589" r:id="rId14"/>
        </w:object>
      </w:r>
    </w:p>
    <w:p w14:paraId="09B6A777" w14:textId="77777777" w:rsidR="00E07EC5" w:rsidRDefault="00E07EC5" w:rsidP="001A4A1B"/>
    <w:p w14:paraId="5AC6DA7A" w14:textId="77777777" w:rsidR="006F3750" w:rsidRDefault="006F3750" w:rsidP="008F79A9">
      <w:pPr>
        <w:rPr>
          <w:b/>
        </w:rPr>
      </w:pPr>
    </w:p>
    <w:p w14:paraId="03F4A545" w14:textId="6C554D7F" w:rsidR="003D23F1" w:rsidRDefault="003D23F1" w:rsidP="003D23F1">
      <w:pPr>
        <w:rPr>
          <w:b/>
        </w:rPr>
      </w:pPr>
      <w:r>
        <w:rPr>
          <w:b/>
        </w:rPr>
        <w:t xml:space="preserve">III. </w:t>
      </w:r>
      <w:r w:rsidR="00C731EE">
        <w:rPr>
          <w:b/>
        </w:rPr>
        <w:t>Data (</w:t>
      </w:r>
      <w:r w:rsidR="00EB75E3">
        <w:rPr>
          <w:b/>
        </w:rPr>
        <w:t>4</w:t>
      </w:r>
      <w:r w:rsidR="00C731EE">
        <w:rPr>
          <w:b/>
        </w:rPr>
        <w:t>/</w:t>
      </w:r>
      <w:r w:rsidR="00EB75E3">
        <w:rPr>
          <w:b/>
        </w:rPr>
        <w:t>2</w:t>
      </w:r>
      <w:r w:rsidR="003E391A">
        <w:rPr>
          <w:b/>
        </w:rPr>
        <w:t>1</w:t>
      </w:r>
      <w:r w:rsidR="00C731EE">
        <w:rPr>
          <w:b/>
        </w:rPr>
        <w:t>/20</w:t>
      </w:r>
      <w:r w:rsidR="0044099A">
        <w:rPr>
          <w:b/>
        </w:rPr>
        <w:t xml:space="preserve"> with 5/6/20 update</w:t>
      </w:r>
      <w:r w:rsidR="00C731EE">
        <w:rPr>
          <w:b/>
        </w:rPr>
        <w:t xml:space="preserve">) </w:t>
      </w:r>
      <w:r>
        <w:rPr>
          <w:b/>
        </w:rPr>
        <w:t xml:space="preserve">     </w:t>
      </w:r>
      <w:r w:rsidRPr="00020451">
        <w:rPr>
          <w:b/>
        </w:rPr>
        <w:t xml:space="preserve"> </w:t>
      </w:r>
    </w:p>
    <w:p w14:paraId="5B7502E2" w14:textId="77777777" w:rsidR="00AA3E43" w:rsidRDefault="00AA3E43" w:rsidP="00AA3E43">
      <w:pPr>
        <w:rPr>
          <w:b/>
        </w:rPr>
      </w:pPr>
    </w:p>
    <w:p w14:paraId="008DD378" w14:textId="32FE7582" w:rsidR="00C45DC7" w:rsidRDefault="00150311" w:rsidP="00AA3E43">
      <w:r>
        <w:rPr>
          <w:b/>
        </w:rPr>
        <w:tab/>
      </w:r>
      <w:r w:rsidR="00C45DC7">
        <w:t>Prior to 4/15/20 the Commonwealth of Massachusetts release</w:t>
      </w:r>
      <w:r w:rsidR="00C5516A">
        <w:t>d</w:t>
      </w:r>
      <w:r w:rsidR="00C45DC7">
        <w:t xml:space="preserve"> virus case counts only by county – updating these daily. Since April 15 it has released the data additionally by city and town, but with a limit. Any town with 5 or fewer cases would simply display the number 5. The result </w:t>
      </w:r>
      <w:r w:rsidR="0087010B">
        <w:t xml:space="preserve">on 4/15/20 </w:t>
      </w:r>
      <w:r w:rsidR="00C45DC7">
        <w:t xml:space="preserve">is a sample of 269 cities and towns with positive entries not equal to the truncated number. </w:t>
      </w:r>
      <w:r w:rsidR="0087010B">
        <w:t xml:space="preserve">The data was then updated on 5/6/20 and the sample of non-truncated towns expanded to 290.  </w:t>
      </w:r>
    </w:p>
    <w:p w14:paraId="1634809D" w14:textId="77777777" w:rsidR="00C45DC7" w:rsidRDefault="00C45DC7" w:rsidP="00AA3E43"/>
    <w:p w14:paraId="5C32489D" w14:textId="77777777" w:rsidR="00631DB4" w:rsidRDefault="00C25DFE" w:rsidP="00AA3E43">
      <w:r>
        <w:tab/>
        <w:t xml:space="preserve">We </w:t>
      </w:r>
      <w:r w:rsidR="00C45DC7">
        <w:t xml:space="preserve">also </w:t>
      </w:r>
      <w:r>
        <w:t xml:space="preserve">obtain current (2019) data for each </w:t>
      </w:r>
      <w:r w:rsidR="00C45DC7">
        <w:t xml:space="preserve">municipality </w:t>
      </w:r>
      <w:r>
        <w:t>on it</w:t>
      </w:r>
      <w:r w:rsidR="00CC3E28">
        <w:t>s</w:t>
      </w:r>
      <w:r>
        <w:t xml:space="preserve"> population, overall residential density (</w:t>
      </w:r>
      <w:r w:rsidR="007D4E31">
        <w:t>population/square mile)</w:t>
      </w:r>
      <w:r>
        <w:t>, average per</w:t>
      </w:r>
      <w:r w:rsidR="008F1FDF">
        <w:t xml:space="preserve"> </w:t>
      </w:r>
      <w:r>
        <w:t>capita income</w:t>
      </w:r>
      <w:r w:rsidR="007D4E31">
        <w:t>,</w:t>
      </w:r>
      <w:r>
        <w:t xml:space="preserve"> and finally </w:t>
      </w:r>
      <w:r w:rsidR="00631DB4">
        <w:t xml:space="preserve">the share of assessed property value in the commercial and industrial categories – as opposed to residential. Commercially operated apartment buildings are classified as residential.  </w:t>
      </w:r>
      <w:r w:rsidR="00B729CF">
        <w:t xml:space="preserve">Table 1 gives the </w:t>
      </w:r>
      <w:r w:rsidR="00631DB4">
        <w:t xml:space="preserve">municipal level statistics used in the analysis. </w:t>
      </w:r>
      <w:r w:rsidR="00B729CF">
        <w:t xml:space="preserve"> </w:t>
      </w:r>
    </w:p>
    <w:p w14:paraId="1FECFF46" w14:textId="77777777" w:rsidR="001656EF" w:rsidRPr="00150311" w:rsidRDefault="001656EF" w:rsidP="00AA3E43"/>
    <w:p w14:paraId="37C917F5" w14:textId="591C5CC1" w:rsidR="00150311" w:rsidRDefault="001656EF" w:rsidP="00AA3E43">
      <w:pPr>
        <w:rPr>
          <w:b/>
        </w:rPr>
      </w:pPr>
      <w:r>
        <w:rPr>
          <w:b/>
        </w:rPr>
        <w:t xml:space="preserve">Table 1: </w:t>
      </w:r>
      <w:r w:rsidR="00883148">
        <w:rPr>
          <w:b/>
        </w:rPr>
        <w:t>Mass. Municipal</w:t>
      </w:r>
      <w:r>
        <w:rPr>
          <w:b/>
        </w:rPr>
        <w:t xml:space="preserve"> </w:t>
      </w:r>
      <w:r w:rsidR="00702E21">
        <w:rPr>
          <w:b/>
        </w:rPr>
        <w:t>Data</w:t>
      </w:r>
    </w:p>
    <w:tbl>
      <w:tblPr>
        <w:tblW w:w="7885" w:type="dxa"/>
        <w:tblLook w:val="04A0" w:firstRow="1" w:lastRow="0" w:firstColumn="1" w:lastColumn="0" w:noHBand="0" w:noVBand="1"/>
      </w:tblPr>
      <w:tblGrid>
        <w:gridCol w:w="2380"/>
        <w:gridCol w:w="800"/>
        <w:gridCol w:w="1140"/>
        <w:gridCol w:w="1140"/>
        <w:gridCol w:w="1192"/>
        <w:gridCol w:w="1233"/>
      </w:tblGrid>
      <w:tr w:rsidR="001656EF" w:rsidRPr="00472B97" w14:paraId="6693F823" w14:textId="77777777" w:rsidTr="00883148">
        <w:trPr>
          <w:trHeight w:val="300"/>
        </w:trPr>
        <w:tc>
          <w:tcPr>
            <w:tcW w:w="2380" w:type="dxa"/>
            <w:tcBorders>
              <w:top w:val="nil"/>
              <w:left w:val="nil"/>
              <w:bottom w:val="nil"/>
              <w:right w:val="nil"/>
            </w:tcBorders>
            <w:shd w:val="clear" w:color="auto" w:fill="auto"/>
            <w:noWrap/>
            <w:vAlign w:val="center"/>
            <w:hideMark/>
          </w:tcPr>
          <w:p w14:paraId="75B38263" w14:textId="77777777" w:rsidR="001656EF" w:rsidRPr="00472B97" w:rsidRDefault="001656EF" w:rsidP="00454173">
            <w:pPr>
              <w:rPr>
                <w:rFonts w:ascii="Calibri" w:hAnsi="Calibri" w:cs="Calibri"/>
                <w:b/>
                <w:bCs/>
                <w:color w:val="000000"/>
              </w:rPr>
            </w:pPr>
            <w:r w:rsidRPr="00472B97">
              <w:rPr>
                <w:rFonts w:ascii="Calibri" w:hAnsi="Calibri" w:cs="Calibri"/>
                <w:b/>
                <w:bCs/>
                <w:color w:val="000000"/>
              </w:rPr>
              <w:t>Series</w:t>
            </w:r>
          </w:p>
        </w:tc>
        <w:tc>
          <w:tcPr>
            <w:tcW w:w="800" w:type="dxa"/>
            <w:tcBorders>
              <w:top w:val="nil"/>
              <w:left w:val="nil"/>
              <w:bottom w:val="nil"/>
              <w:right w:val="nil"/>
            </w:tcBorders>
            <w:shd w:val="clear" w:color="auto" w:fill="auto"/>
            <w:noWrap/>
            <w:vAlign w:val="bottom"/>
            <w:hideMark/>
          </w:tcPr>
          <w:p w14:paraId="029E0635" w14:textId="77D68F7C"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Obs</w:t>
            </w:r>
            <w:proofErr w:type="spellEnd"/>
          </w:p>
        </w:tc>
        <w:tc>
          <w:tcPr>
            <w:tcW w:w="1140" w:type="dxa"/>
            <w:tcBorders>
              <w:top w:val="nil"/>
              <w:left w:val="nil"/>
              <w:bottom w:val="nil"/>
              <w:right w:val="nil"/>
            </w:tcBorders>
            <w:shd w:val="clear" w:color="auto" w:fill="auto"/>
            <w:noWrap/>
            <w:vAlign w:val="bottom"/>
            <w:hideMark/>
          </w:tcPr>
          <w:p w14:paraId="0360C4A6" w14:textId="4DF8DE2E"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r w:rsidR="001656EF" w:rsidRPr="00472B97">
              <w:rPr>
                <w:rFonts w:ascii="Calibri" w:hAnsi="Calibri" w:cs="Calibri"/>
                <w:b/>
                <w:bCs/>
                <w:color w:val="000000"/>
              </w:rPr>
              <w:t>Mean</w:t>
            </w:r>
          </w:p>
        </w:tc>
        <w:tc>
          <w:tcPr>
            <w:tcW w:w="1140" w:type="dxa"/>
            <w:tcBorders>
              <w:top w:val="nil"/>
              <w:left w:val="nil"/>
              <w:bottom w:val="nil"/>
              <w:right w:val="nil"/>
            </w:tcBorders>
            <w:shd w:val="clear" w:color="auto" w:fill="auto"/>
            <w:noWrap/>
            <w:vAlign w:val="bottom"/>
            <w:hideMark/>
          </w:tcPr>
          <w:p w14:paraId="3264B9EC" w14:textId="5F70721C" w:rsidR="001656EF" w:rsidRPr="00472B97" w:rsidRDefault="00931996" w:rsidP="00931996">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Std</w:t>
            </w:r>
            <w:proofErr w:type="spellEnd"/>
            <w:r w:rsidR="001656EF" w:rsidRPr="00472B97">
              <w:rPr>
                <w:rFonts w:ascii="Calibri" w:hAnsi="Calibri" w:cs="Calibri"/>
                <w:b/>
                <w:bCs/>
                <w:color w:val="000000"/>
              </w:rPr>
              <w:t xml:space="preserve"> </w:t>
            </w:r>
            <w:r>
              <w:rPr>
                <w:rFonts w:ascii="Calibri" w:hAnsi="Calibri" w:cs="Calibri"/>
                <w:b/>
                <w:bCs/>
                <w:color w:val="000000"/>
              </w:rPr>
              <w:t>Dev.</w:t>
            </w:r>
          </w:p>
        </w:tc>
        <w:tc>
          <w:tcPr>
            <w:tcW w:w="1192" w:type="dxa"/>
            <w:tcBorders>
              <w:top w:val="nil"/>
              <w:left w:val="nil"/>
              <w:bottom w:val="nil"/>
              <w:right w:val="nil"/>
            </w:tcBorders>
            <w:shd w:val="clear" w:color="auto" w:fill="auto"/>
            <w:noWrap/>
            <w:vAlign w:val="bottom"/>
            <w:hideMark/>
          </w:tcPr>
          <w:p w14:paraId="5D3D643F"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Minimum</w:t>
            </w:r>
          </w:p>
        </w:tc>
        <w:tc>
          <w:tcPr>
            <w:tcW w:w="1233" w:type="dxa"/>
            <w:tcBorders>
              <w:top w:val="nil"/>
              <w:left w:val="nil"/>
              <w:bottom w:val="nil"/>
              <w:right w:val="nil"/>
            </w:tcBorders>
            <w:shd w:val="clear" w:color="auto" w:fill="auto"/>
            <w:noWrap/>
            <w:vAlign w:val="bottom"/>
            <w:hideMark/>
          </w:tcPr>
          <w:p w14:paraId="173BA775"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Maximum</w:t>
            </w:r>
          </w:p>
        </w:tc>
      </w:tr>
      <w:tr w:rsidR="001656EF" w:rsidRPr="00472B97" w14:paraId="2F71FE7B" w14:textId="77777777" w:rsidTr="00883148">
        <w:trPr>
          <w:trHeight w:val="300"/>
        </w:trPr>
        <w:tc>
          <w:tcPr>
            <w:tcW w:w="2380" w:type="dxa"/>
            <w:tcBorders>
              <w:top w:val="nil"/>
              <w:left w:val="nil"/>
              <w:bottom w:val="nil"/>
              <w:right w:val="nil"/>
            </w:tcBorders>
            <w:shd w:val="clear" w:color="auto" w:fill="auto"/>
            <w:noWrap/>
            <w:vAlign w:val="center"/>
            <w:hideMark/>
          </w:tcPr>
          <w:p w14:paraId="55A33F3D" w14:textId="2F1E4893"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Cases</w:t>
            </w:r>
            <w:r w:rsidR="00883148">
              <w:rPr>
                <w:rFonts w:ascii="Calibri" w:hAnsi="Calibri" w:cs="Calibri"/>
                <w:color w:val="000000"/>
                <w:sz w:val="20"/>
                <w:szCs w:val="20"/>
              </w:rPr>
              <w:t>/</w:t>
            </w:r>
            <w:r w:rsidR="00AE4534">
              <w:rPr>
                <w:rFonts w:ascii="Calibri" w:hAnsi="Calibri" w:cs="Calibri"/>
                <w:color w:val="000000"/>
                <w:sz w:val="20"/>
                <w:szCs w:val="20"/>
              </w:rPr>
              <w:t xml:space="preserve">100000 </w:t>
            </w:r>
            <w:r w:rsidR="00883148">
              <w:rPr>
                <w:rFonts w:ascii="Calibri" w:hAnsi="Calibri" w:cs="Calibri"/>
                <w:color w:val="000000"/>
                <w:sz w:val="20"/>
                <w:szCs w:val="20"/>
              </w:rPr>
              <w:t>pop</w:t>
            </w:r>
            <w:r w:rsidR="0044099A">
              <w:rPr>
                <w:rFonts w:ascii="Calibri" w:hAnsi="Calibri" w:cs="Calibri"/>
                <w:color w:val="000000"/>
                <w:sz w:val="20"/>
                <w:szCs w:val="20"/>
              </w:rPr>
              <w:t>(4/15)</w:t>
            </w:r>
          </w:p>
        </w:tc>
        <w:tc>
          <w:tcPr>
            <w:tcW w:w="800" w:type="dxa"/>
            <w:tcBorders>
              <w:top w:val="nil"/>
              <w:left w:val="nil"/>
              <w:bottom w:val="nil"/>
              <w:right w:val="nil"/>
            </w:tcBorders>
            <w:shd w:val="clear" w:color="auto" w:fill="auto"/>
            <w:noWrap/>
            <w:vAlign w:val="bottom"/>
            <w:hideMark/>
          </w:tcPr>
          <w:p w14:paraId="72BDEFE8" w14:textId="2B464133"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269</w:t>
            </w:r>
          </w:p>
        </w:tc>
        <w:tc>
          <w:tcPr>
            <w:tcW w:w="1140" w:type="dxa"/>
            <w:tcBorders>
              <w:top w:val="nil"/>
              <w:left w:val="nil"/>
              <w:bottom w:val="nil"/>
              <w:right w:val="nil"/>
            </w:tcBorders>
            <w:shd w:val="clear" w:color="auto" w:fill="auto"/>
            <w:noWrap/>
            <w:vAlign w:val="bottom"/>
            <w:hideMark/>
          </w:tcPr>
          <w:p w14:paraId="7BA994EF" w14:textId="77A7E4F8"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303</w:t>
            </w:r>
          </w:p>
        </w:tc>
        <w:tc>
          <w:tcPr>
            <w:tcW w:w="1140" w:type="dxa"/>
            <w:tcBorders>
              <w:top w:val="nil"/>
              <w:left w:val="nil"/>
              <w:bottom w:val="nil"/>
              <w:right w:val="nil"/>
            </w:tcBorders>
            <w:shd w:val="clear" w:color="auto" w:fill="auto"/>
            <w:noWrap/>
            <w:vAlign w:val="bottom"/>
            <w:hideMark/>
          </w:tcPr>
          <w:p w14:paraId="33C38631" w14:textId="40CCF882"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211</w:t>
            </w:r>
          </w:p>
        </w:tc>
        <w:tc>
          <w:tcPr>
            <w:tcW w:w="1192" w:type="dxa"/>
            <w:tcBorders>
              <w:top w:val="nil"/>
              <w:left w:val="nil"/>
              <w:bottom w:val="nil"/>
              <w:right w:val="nil"/>
            </w:tcBorders>
            <w:shd w:val="clear" w:color="auto" w:fill="auto"/>
            <w:noWrap/>
            <w:vAlign w:val="bottom"/>
            <w:hideMark/>
          </w:tcPr>
          <w:p w14:paraId="6EFFD8E5" w14:textId="7219FA4D"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27</w:t>
            </w:r>
          </w:p>
        </w:tc>
        <w:tc>
          <w:tcPr>
            <w:tcW w:w="1233" w:type="dxa"/>
            <w:tcBorders>
              <w:top w:val="nil"/>
              <w:left w:val="nil"/>
              <w:bottom w:val="nil"/>
              <w:right w:val="nil"/>
            </w:tcBorders>
            <w:shd w:val="clear" w:color="auto" w:fill="auto"/>
            <w:noWrap/>
            <w:vAlign w:val="bottom"/>
            <w:hideMark/>
          </w:tcPr>
          <w:p w14:paraId="6830B3E3" w14:textId="6F38747B" w:rsidR="0044099A"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1890</w:t>
            </w:r>
          </w:p>
        </w:tc>
      </w:tr>
      <w:tr w:rsidR="0044099A" w:rsidRPr="00472B97" w14:paraId="5B9603C0" w14:textId="77777777" w:rsidTr="00BB79B3">
        <w:trPr>
          <w:trHeight w:val="300"/>
        </w:trPr>
        <w:tc>
          <w:tcPr>
            <w:tcW w:w="2380" w:type="dxa"/>
            <w:tcBorders>
              <w:top w:val="nil"/>
              <w:left w:val="nil"/>
              <w:bottom w:val="nil"/>
              <w:right w:val="nil"/>
            </w:tcBorders>
            <w:shd w:val="clear" w:color="auto" w:fill="auto"/>
            <w:noWrap/>
            <w:vAlign w:val="center"/>
            <w:hideMark/>
          </w:tcPr>
          <w:p w14:paraId="43BBE42D" w14:textId="357A58F6" w:rsidR="0044099A" w:rsidRPr="008A7DD9" w:rsidRDefault="0044099A" w:rsidP="0044099A">
            <w:pPr>
              <w:rPr>
                <w:rFonts w:ascii="Calibri" w:hAnsi="Calibri" w:cs="Calibri"/>
                <w:color w:val="000000"/>
                <w:sz w:val="20"/>
                <w:szCs w:val="20"/>
              </w:rPr>
            </w:pPr>
            <w:r w:rsidRPr="008A7DD9">
              <w:rPr>
                <w:rFonts w:ascii="Calibri" w:hAnsi="Calibri" w:cs="Calibri"/>
                <w:color w:val="000000"/>
                <w:sz w:val="20"/>
                <w:szCs w:val="20"/>
              </w:rPr>
              <w:t>Cases</w:t>
            </w:r>
            <w:r>
              <w:rPr>
                <w:rFonts w:ascii="Calibri" w:hAnsi="Calibri" w:cs="Calibri"/>
                <w:color w:val="000000"/>
                <w:sz w:val="20"/>
                <w:szCs w:val="20"/>
              </w:rPr>
              <w:t>/100000 pop(5/6)</w:t>
            </w:r>
          </w:p>
        </w:tc>
        <w:tc>
          <w:tcPr>
            <w:tcW w:w="800" w:type="dxa"/>
            <w:tcBorders>
              <w:top w:val="nil"/>
              <w:left w:val="nil"/>
              <w:bottom w:val="nil"/>
              <w:right w:val="nil"/>
            </w:tcBorders>
            <w:shd w:val="clear" w:color="auto" w:fill="auto"/>
            <w:noWrap/>
            <w:vAlign w:val="bottom"/>
            <w:hideMark/>
          </w:tcPr>
          <w:p w14:paraId="1A2D5E54" w14:textId="1BA4209D" w:rsidR="0044099A" w:rsidRPr="008A7DD9" w:rsidRDefault="0044099A" w:rsidP="0044099A">
            <w:pPr>
              <w:jc w:val="right"/>
              <w:rPr>
                <w:rFonts w:ascii="Calibri" w:hAnsi="Calibri" w:cs="Calibri"/>
                <w:color w:val="000000"/>
                <w:sz w:val="20"/>
                <w:szCs w:val="20"/>
              </w:rPr>
            </w:pPr>
            <w:r>
              <w:rPr>
                <w:rFonts w:ascii="Calibri" w:hAnsi="Calibri" w:cs="Calibri"/>
                <w:color w:val="000000"/>
                <w:sz w:val="20"/>
                <w:szCs w:val="20"/>
              </w:rPr>
              <w:t>294</w:t>
            </w:r>
          </w:p>
        </w:tc>
        <w:tc>
          <w:tcPr>
            <w:tcW w:w="1140" w:type="dxa"/>
            <w:tcBorders>
              <w:top w:val="nil"/>
              <w:left w:val="nil"/>
              <w:bottom w:val="nil"/>
              <w:right w:val="nil"/>
            </w:tcBorders>
            <w:shd w:val="clear" w:color="auto" w:fill="auto"/>
            <w:noWrap/>
            <w:vAlign w:val="bottom"/>
            <w:hideMark/>
          </w:tcPr>
          <w:p w14:paraId="59887709" w14:textId="3FF172E2" w:rsidR="0044099A" w:rsidRPr="008A7DD9" w:rsidRDefault="0044099A" w:rsidP="0044099A">
            <w:pPr>
              <w:jc w:val="right"/>
              <w:rPr>
                <w:rFonts w:ascii="Calibri" w:hAnsi="Calibri" w:cs="Calibri"/>
                <w:color w:val="000000"/>
                <w:sz w:val="20"/>
                <w:szCs w:val="20"/>
              </w:rPr>
            </w:pPr>
            <w:r>
              <w:rPr>
                <w:rFonts w:ascii="Calibri" w:hAnsi="Calibri" w:cs="Calibri"/>
                <w:color w:val="000000"/>
                <w:sz w:val="20"/>
                <w:szCs w:val="20"/>
              </w:rPr>
              <w:t>687</w:t>
            </w:r>
          </w:p>
        </w:tc>
        <w:tc>
          <w:tcPr>
            <w:tcW w:w="1140" w:type="dxa"/>
            <w:tcBorders>
              <w:top w:val="nil"/>
              <w:left w:val="nil"/>
              <w:bottom w:val="nil"/>
              <w:right w:val="nil"/>
            </w:tcBorders>
            <w:shd w:val="clear" w:color="auto" w:fill="auto"/>
            <w:noWrap/>
            <w:vAlign w:val="bottom"/>
            <w:hideMark/>
          </w:tcPr>
          <w:p w14:paraId="634B68C9" w14:textId="18228960" w:rsidR="0044099A" w:rsidRPr="008A7DD9" w:rsidRDefault="0044099A" w:rsidP="0044099A">
            <w:pPr>
              <w:jc w:val="right"/>
              <w:rPr>
                <w:rFonts w:ascii="Calibri" w:hAnsi="Calibri" w:cs="Calibri"/>
                <w:color w:val="000000"/>
                <w:sz w:val="20"/>
                <w:szCs w:val="20"/>
              </w:rPr>
            </w:pPr>
            <w:r>
              <w:rPr>
                <w:rFonts w:ascii="Calibri" w:hAnsi="Calibri" w:cs="Calibri"/>
                <w:color w:val="000000"/>
                <w:sz w:val="20"/>
                <w:szCs w:val="20"/>
              </w:rPr>
              <w:t>561</w:t>
            </w:r>
          </w:p>
        </w:tc>
        <w:tc>
          <w:tcPr>
            <w:tcW w:w="1192" w:type="dxa"/>
            <w:tcBorders>
              <w:top w:val="nil"/>
              <w:left w:val="nil"/>
              <w:bottom w:val="nil"/>
              <w:right w:val="nil"/>
            </w:tcBorders>
            <w:shd w:val="clear" w:color="auto" w:fill="auto"/>
            <w:noWrap/>
            <w:vAlign w:val="bottom"/>
            <w:hideMark/>
          </w:tcPr>
          <w:p w14:paraId="5EFFE306" w14:textId="7F1215B8" w:rsidR="0044099A" w:rsidRPr="008A7DD9" w:rsidRDefault="0044099A" w:rsidP="0044099A">
            <w:pPr>
              <w:jc w:val="right"/>
              <w:rPr>
                <w:rFonts w:ascii="Calibri" w:hAnsi="Calibri" w:cs="Calibri"/>
                <w:color w:val="000000"/>
                <w:sz w:val="20"/>
                <w:szCs w:val="20"/>
              </w:rPr>
            </w:pPr>
            <w:r>
              <w:rPr>
                <w:rFonts w:ascii="Calibri" w:hAnsi="Calibri" w:cs="Calibri"/>
                <w:color w:val="000000"/>
                <w:sz w:val="20"/>
                <w:szCs w:val="20"/>
              </w:rPr>
              <w:t>90</w:t>
            </w:r>
          </w:p>
        </w:tc>
        <w:tc>
          <w:tcPr>
            <w:tcW w:w="1233" w:type="dxa"/>
            <w:tcBorders>
              <w:top w:val="nil"/>
              <w:left w:val="nil"/>
              <w:bottom w:val="nil"/>
              <w:right w:val="nil"/>
            </w:tcBorders>
            <w:shd w:val="clear" w:color="auto" w:fill="auto"/>
            <w:noWrap/>
            <w:vAlign w:val="bottom"/>
            <w:hideMark/>
          </w:tcPr>
          <w:p w14:paraId="19B54EA0" w14:textId="1C74A1CE" w:rsidR="0044099A" w:rsidRPr="008A7DD9" w:rsidRDefault="0044099A" w:rsidP="0044099A">
            <w:pPr>
              <w:jc w:val="right"/>
              <w:rPr>
                <w:rFonts w:ascii="Calibri" w:hAnsi="Calibri" w:cs="Calibri"/>
                <w:color w:val="000000"/>
                <w:sz w:val="20"/>
                <w:szCs w:val="20"/>
              </w:rPr>
            </w:pPr>
            <w:r>
              <w:rPr>
                <w:rFonts w:ascii="Calibri" w:hAnsi="Calibri" w:cs="Calibri"/>
                <w:color w:val="000000"/>
                <w:sz w:val="20"/>
                <w:szCs w:val="20"/>
              </w:rPr>
              <w:t>5958</w:t>
            </w:r>
          </w:p>
        </w:tc>
      </w:tr>
      <w:tr w:rsidR="001656EF" w:rsidRPr="00472B97" w14:paraId="40FAF900" w14:textId="77777777" w:rsidTr="00883148">
        <w:trPr>
          <w:trHeight w:val="300"/>
        </w:trPr>
        <w:tc>
          <w:tcPr>
            <w:tcW w:w="2380" w:type="dxa"/>
            <w:tcBorders>
              <w:top w:val="nil"/>
              <w:left w:val="nil"/>
              <w:bottom w:val="nil"/>
              <w:right w:val="nil"/>
            </w:tcBorders>
            <w:shd w:val="clear" w:color="auto" w:fill="auto"/>
            <w:noWrap/>
            <w:vAlign w:val="center"/>
            <w:hideMark/>
          </w:tcPr>
          <w:p w14:paraId="0231668E" w14:textId="01845C70" w:rsidR="001656EF" w:rsidRPr="008A7DD9" w:rsidRDefault="0044099A" w:rsidP="0044099A">
            <w:pPr>
              <w:rPr>
                <w:rFonts w:ascii="Calibri" w:hAnsi="Calibri" w:cs="Calibri"/>
                <w:color w:val="000000"/>
                <w:sz w:val="20"/>
                <w:szCs w:val="20"/>
              </w:rPr>
            </w:pPr>
            <w:r>
              <w:rPr>
                <w:rFonts w:ascii="Calibri" w:hAnsi="Calibri" w:cs="Calibri"/>
                <w:color w:val="000000"/>
                <w:sz w:val="20"/>
                <w:szCs w:val="20"/>
              </w:rPr>
              <w:t>D</w:t>
            </w:r>
            <w:r w:rsidR="001656EF" w:rsidRPr="008A7DD9">
              <w:rPr>
                <w:rFonts w:ascii="Calibri" w:hAnsi="Calibri" w:cs="Calibri"/>
                <w:color w:val="000000"/>
                <w:sz w:val="20"/>
                <w:szCs w:val="20"/>
              </w:rPr>
              <w:t>ensity</w:t>
            </w:r>
            <w:r w:rsidR="00AE4534">
              <w:rPr>
                <w:rFonts w:ascii="Calibri" w:hAnsi="Calibri" w:cs="Calibri"/>
                <w:color w:val="000000"/>
                <w:sz w:val="20"/>
                <w:szCs w:val="20"/>
              </w:rPr>
              <w:t xml:space="preserve"> (pop</w:t>
            </w:r>
            <w:r w:rsidR="00B67AC8">
              <w:rPr>
                <w:rFonts w:ascii="Calibri" w:hAnsi="Calibri" w:cs="Calibri"/>
                <w:color w:val="000000"/>
                <w:sz w:val="20"/>
                <w:szCs w:val="20"/>
              </w:rPr>
              <w:t>/</w:t>
            </w:r>
            <w:proofErr w:type="spellStart"/>
            <w:r w:rsidR="00AE4534">
              <w:rPr>
                <w:rFonts w:ascii="Calibri" w:hAnsi="Calibri" w:cs="Calibri"/>
                <w:color w:val="000000"/>
                <w:sz w:val="20"/>
                <w:szCs w:val="20"/>
              </w:rPr>
              <w:t>sqm</w:t>
            </w:r>
            <w:proofErr w:type="spellEnd"/>
            <w:r w:rsidR="00AE4534">
              <w:rPr>
                <w:rFonts w:ascii="Calibri" w:hAnsi="Calibri" w:cs="Calibri"/>
                <w:color w:val="000000"/>
                <w:sz w:val="20"/>
                <w:szCs w:val="20"/>
              </w:rPr>
              <w:t>)</w:t>
            </w:r>
          </w:p>
        </w:tc>
        <w:tc>
          <w:tcPr>
            <w:tcW w:w="800" w:type="dxa"/>
            <w:tcBorders>
              <w:top w:val="nil"/>
              <w:left w:val="nil"/>
              <w:bottom w:val="nil"/>
              <w:right w:val="nil"/>
            </w:tcBorders>
            <w:shd w:val="clear" w:color="auto" w:fill="auto"/>
            <w:noWrap/>
            <w:vAlign w:val="bottom"/>
            <w:hideMark/>
          </w:tcPr>
          <w:p w14:paraId="3C37FB80" w14:textId="0FB08CB3"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351</w:t>
            </w:r>
          </w:p>
        </w:tc>
        <w:tc>
          <w:tcPr>
            <w:tcW w:w="1140" w:type="dxa"/>
            <w:tcBorders>
              <w:top w:val="nil"/>
              <w:left w:val="nil"/>
              <w:bottom w:val="nil"/>
              <w:right w:val="nil"/>
            </w:tcBorders>
            <w:shd w:val="clear" w:color="auto" w:fill="auto"/>
            <w:noWrap/>
            <w:vAlign w:val="bottom"/>
            <w:hideMark/>
          </w:tcPr>
          <w:p w14:paraId="4AB833E5" w14:textId="21D571C9"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1368</w:t>
            </w:r>
          </w:p>
        </w:tc>
        <w:tc>
          <w:tcPr>
            <w:tcW w:w="1140" w:type="dxa"/>
            <w:tcBorders>
              <w:top w:val="nil"/>
              <w:left w:val="nil"/>
              <w:bottom w:val="nil"/>
              <w:right w:val="nil"/>
            </w:tcBorders>
            <w:shd w:val="clear" w:color="auto" w:fill="auto"/>
            <w:noWrap/>
            <w:vAlign w:val="bottom"/>
            <w:hideMark/>
          </w:tcPr>
          <w:p w14:paraId="17ABB33B" w14:textId="13B079FA"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2590</w:t>
            </w:r>
          </w:p>
        </w:tc>
        <w:tc>
          <w:tcPr>
            <w:tcW w:w="1192" w:type="dxa"/>
            <w:tcBorders>
              <w:top w:val="nil"/>
              <w:left w:val="nil"/>
              <w:bottom w:val="nil"/>
              <w:right w:val="nil"/>
            </w:tcBorders>
            <w:shd w:val="clear" w:color="auto" w:fill="auto"/>
            <w:noWrap/>
            <w:vAlign w:val="bottom"/>
            <w:hideMark/>
          </w:tcPr>
          <w:p w14:paraId="3107AC83" w14:textId="469BD2AD"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4</w:t>
            </w:r>
          </w:p>
        </w:tc>
        <w:tc>
          <w:tcPr>
            <w:tcW w:w="1233" w:type="dxa"/>
            <w:tcBorders>
              <w:top w:val="nil"/>
              <w:left w:val="nil"/>
              <w:bottom w:val="nil"/>
              <w:right w:val="nil"/>
            </w:tcBorders>
            <w:shd w:val="clear" w:color="auto" w:fill="auto"/>
            <w:noWrap/>
            <w:vAlign w:val="bottom"/>
            <w:hideMark/>
          </w:tcPr>
          <w:p w14:paraId="0E71DB69" w14:textId="4A162CA9"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19541</w:t>
            </w:r>
          </w:p>
        </w:tc>
      </w:tr>
      <w:tr w:rsidR="001656EF" w:rsidRPr="00472B97" w14:paraId="7C90773A" w14:textId="77777777" w:rsidTr="00883148">
        <w:trPr>
          <w:trHeight w:val="300"/>
        </w:trPr>
        <w:tc>
          <w:tcPr>
            <w:tcW w:w="2380" w:type="dxa"/>
            <w:tcBorders>
              <w:top w:val="nil"/>
              <w:left w:val="nil"/>
              <w:bottom w:val="nil"/>
              <w:right w:val="nil"/>
            </w:tcBorders>
            <w:shd w:val="clear" w:color="auto" w:fill="auto"/>
            <w:noWrap/>
            <w:vAlign w:val="center"/>
            <w:hideMark/>
          </w:tcPr>
          <w:p w14:paraId="772F5521"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Per Capita Income</w:t>
            </w:r>
          </w:p>
        </w:tc>
        <w:tc>
          <w:tcPr>
            <w:tcW w:w="800" w:type="dxa"/>
            <w:tcBorders>
              <w:top w:val="nil"/>
              <w:left w:val="nil"/>
              <w:bottom w:val="nil"/>
              <w:right w:val="nil"/>
            </w:tcBorders>
            <w:shd w:val="clear" w:color="auto" w:fill="auto"/>
            <w:noWrap/>
            <w:vAlign w:val="bottom"/>
            <w:hideMark/>
          </w:tcPr>
          <w:p w14:paraId="6DE1D4E9" w14:textId="0D75A3CE"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351</w:t>
            </w:r>
          </w:p>
        </w:tc>
        <w:tc>
          <w:tcPr>
            <w:tcW w:w="1140" w:type="dxa"/>
            <w:tcBorders>
              <w:top w:val="nil"/>
              <w:left w:val="nil"/>
              <w:bottom w:val="nil"/>
              <w:right w:val="nil"/>
            </w:tcBorders>
            <w:shd w:val="clear" w:color="auto" w:fill="auto"/>
            <w:noWrap/>
            <w:vAlign w:val="bottom"/>
            <w:hideMark/>
          </w:tcPr>
          <w:p w14:paraId="0BB1EDA7" w14:textId="408B419B"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44054</w:t>
            </w:r>
          </w:p>
        </w:tc>
        <w:tc>
          <w:tcPr>
            <w:tcW w:w="1140" w:type="dxa"/>
            <w:tcBorders>
              <w:top w:val="nil"/>
              <w:left w:val="nil"/>
              <w:bottom w:val="nil"/>
              <w:right w:val="nil"/>
            </w:tcBorders>
            <w:shd w:val="clear" w:color="auto" w:fill="auto"/>
            <w:noWrap/>
            <w:vAlign w:val="bottom"/>
            <w:hideMark/>
          </w:tcPr>
          <w:p w14:paraId="43F6CEA6" w14:textId="673EACC4"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13106</w:t>
            </w:r>
          </w:p>
        </w:tc>
        <w:tc>
          <w:tcPr>
            <w:tcW w:w="1192" w:type="dxa"/>
            <w:tcBorders>
              <w:top w:val="nil"/>
              <w:left w:val="nil"/>
              <w:bottom w:val="nil"/>
              <w:right w:val="nil"/>
            </w:tcBorders>
            <w:shd w:val="clear" w:color="auto" w:fill="auto"/>
            <w:noWrap/>
            <w:vAlign w:val="bottom"/>
            <w:hideMark/>
          </w:tcPr>
          <w:p w14:paraId="6E628BDF" w14:textId="54EF6A84"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19024</w:t>
            </w:r>
          </w:p>
        </w:tc>
        <w:tc>
          <w:tcPr>
            <w:tcW w:w="1233" w:type="dxa"/>
            <w:tcBorders>
              <w:top w:val="nil"/>
              <w:left w:val="nil"/>
              <w:bottom w:val="nil"/>
              <w:right w:val="nil"/>
            </w:tcBorders>
            <w:shd w:val="clear" w:color="auto" w:fill="auto"/>
            <w:noWrap/>
            <w:vAlign w:val="bottom"/>
            <w:hideMark/>
          </w:tcPr>
          <w:p w14:paraId="559CD47C" w14:textId="1FF30572"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115586</w:t>
            </w:r>
          </w:p>
        </w:tc>
      </w:tr>
      <w:tr w:rsidR="001656EF" w:rsidRPr="00472B97" w14:paraId="734AD490" w14:textId="77777777" w:rsidTr="00883148">
        <w:trPr>
          <w:trHeight w:val="300"/>
        </w:trPr>
        <w:tc>
          <w:tcPr>
            <w:tcW w:w="2380" w:type="dxa"/>
            <w:tcBorders>
              <w:top w:val="nil"/>
              <w:left w:val="nil"/>
              <w:bottom w:val="nil"/>
              <w:right w:val="nil"/>
            </w:tcBorders>
            <w:shd w:val="clear" w:color="auto" w:fill="auto"/>
            <w:noWrap/>
            <w:vAlign w:val="center"/>
            <w:hideMark/>
          </w:tcPr>
          <w:p w14:paraId="4D3AF8A3" w14:textId="0ABE25F4" w:rsidR="001656EF" w:rsidRPr="008A7DD9" w:rsidRDefault="00AE4534" w:rsidP="00AE4534">
            <w:pPr>
              <w:rPr>
                <w:rFonts w:ascii="Calibri" w:hAnsi="Calibri" w:cs="Calibri"/>
                <w:color w:val="000000"/>
                <w:sz w:val="20"/>
                <w:szCs w:val="20"/>
              </w:rPr>
            </w:pPr>
            <w:r>
              <w:rPr>
                <w:rFonts w:ascii="Calibri" w:hAnsi="Calibri" w:cs="Calibri"/>
                <w:color w:val="000000"/>
                <w:sz w:val="20"/>
                <w:szCs w:val="20"/>
              </w:rPr>
              <w:t xml:space="preserve">Share </w:t>
            </w:r>
            <w:r w:rsidR="00883148">
              <w:rPr>
                <w:rFonts w:ascii="Calibri" w:hAnsi="Calibri" w:cs="Calibri"/>
                <w:color w:val="000000"/>
                <w:sz w:val="20"/>
                <w:szCs w:val="20"/>
              </w:rPr>
              <w:t>Land Use C&amp;I</w:t>
            </w:r>
          </w:p>
        </w:tc>
        <w:tc>
          <w:tcPr>
            <w:tcW w:w="800" w:type="dxa"/>
            <w:tcBorders>
              <w:top w:val="nil"/>
              <w:left w:val="nil"/>
              <w:bottom w:val="nil"/>
              <w:right w:val="nil"/>
            </w:tcBorders>
            <w:shd w:val="clear" w:color="auto" w:fill="auto"/>
            <w:noWrap/>
            <w:vAlign w:val="bottom"/>
            <w:hideMark/>
          </w:tcPr>
          <w:p w14:paraId="6A6155C3" w14:textId="1361A852"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351</w:t>
            </w:r>
          </w:p>
        </w:tc>
        <w:tc>
          <w:tcPr>
            <w:tcW w:w="1140" w:type="dxa"/>
            <w:tcBorders>
              <w:top w:val="nil"/>
              <w:left w:val="nil"/>
              <w:bottom w:val="nil"/>
              <w:right w:val="nil"/>
            </w:tcBorders>
            <w:shd w:val="clear" w:color="auto" w:fill="auto"/>
            <w:noWrap/>
            <w:vAlign w:val="bottom"/>
            <w:hideMark/>
          </w:tcPr>
          <w:p w14:paraId="3323FDCC" w14:textId="251EFBA4"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.1157</w:t>
            </w:r>
          </w:p>
        </w:tc>
        <w:tc>
          <w:tcPr>
            <w:tcW w:w="1140" w:type="dxa"/>
            <w:tcBorders>
              <w:top w:val="nil"/>
              <w:left w:val="nil"/>
              <w:bottom w:val="nil"/>
              <w:right w:val="nil"/>
            </w:tcBorders>
            <w:shd w:val="clear" w:color="auto" w:fill="auto"/>
            <w:noWrap/>
            <w:vAlign w:val="bottom"/>
            <w:hideMark/>
          </w:tcPr>
          <w:p w14:paraId="06CC3A6D" w14:textId="1F0B4F75"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.0992</w:t>
            </w:r>
          </w:p>
        </w:tc>
        <w:tc>
          <w:tcPr>
            <w:tcW w:w="1192" w:type="dxa"/>
            <w:tcBorders>
              <w:top w:val="nil"/>
              <w:left w:val="nil"/>
              <w:bottom w:val="nil"/>
              <w:right w:val="nil"/>
            </w:tcBorders>
            <w:shd w:val="clear" w:color="auto" w:fill="auto"/>
            <w:noWrap/>
            <w:vAlign w:val="bottom"/>
            <w:hideMark/>
          </w:tcPr>
          <w:p w14:paraId="63EA2DBB" w14:textId="54DC2CEE" w:rsidR="001656EF" w:rsidRPr="008A7DD9" w:rsidRDefault="001656EF" w:rsidP="00AE4534">
            <w:pPr>
              <w:jc w:val="right"/>
              <w:rPr>
                <w:rFonts w:ascii="Calibri" w:hAnsi="Calibri" w:cs="Calibri"/>
                <w:color w:val="000000"/>
                <w:sz w:val="20"/>
                <w:szCs w:val="20"/>
              </w:rPr>
            </w:pPr>
            <w:r w:rsidRPr="008A7DD9">
              <w:rPr>
                <w:rFonts w:ascii="Calibri" w:hAnsi="Calibri" w:cs="Calibri"/>
                <w:color w:val="000000"/>
                <w:sz w:val="20"/>
                <w:szCs w:val="20"/>
              </w:rPr>
              <w:t>.</w:t>
            </w:r>
            <w:r w:rsidR="00AE4534">
              <w:rPr>
                <w:rFonts w:ascii="Calibri" w:hAnsi="Calibri" w:cs="Calibri"/>
                <w:color w:val="000000"/>
                <w:sz w:val="20"/>
                <w:szCs w:val="20"/>
              </w:rPr>
              <w:t>0</w:t>
            </w:r>
            <w:r w:rsidR="00EE3A52">
              <w:rPr>
                <w:rFonts w:ascii="Calibri" w:hAnsi="Calibri" w:cs="Calibri"/>
                <w:color w:val="000000"/>
                <w:sz w:val="20"/>
                <w:szCs w:val="20"/>
              </w:rPr>
              <w:t>2</w:t>
            </w:r>
          </w:p>
        </w:tc>
        <w:tc>
          <w:tcPr>
            <w:tcW w:w="1233" w:type="dxa"/>
            <w:tcBorders>
              <w:top w:val="nil"/>
              <w:left w:val="nil"/>
              <w:bottom w:val="nil"/>
              <w:right w:val="nil"/>
            </w:tcBorders>
            <w:shd w:val="clear" w:color="auto" w:fill="auto"/>
            <w:noWrap/>
            <w:vAlign w:val="bottom"/>
            <w:hideMark/>
          </w:tcPr>
          <w:p w14:paraId="29E93960" w14:textId="5489ACF1" w:rsidR="001656EF" w:rsidRPr="008A7DD9" w:rsidRDefault="001656EF" w:rsidP="00AE4534">
            <w:pPr>
              <w:jc w:val="right"/>
              <w:rPr>
                <w:rFonts w:ascii="Calibri" w:hAnsi="Calibri" w:cs="Calibri"/>
                <w:color w:val="000000"/>
                <w:sz w:val="20"/>
                <w:szCs w:val="20"/>
              </w:rPr>
            </w:pPr>
            <w:r w:rsidRPr="008A7DD9">
              <w:rPr>
                <w:rFonts w:ascii="Calibri" w:hAnsi="Calibri" w:cs="Calibri"/>
                <w:color w:val="000000"/>
                <w:sz w:val="20"/>
                <w:szCs w:val="20"/>
              </w:rPr>
              <w:t>.</w:t>
            </w:r>
            <w:r w:rsidR="00AE4534">
              <w:rPr>
                <w:rFonts w:ascii="Calibri" w:hAnsi="Calibri" w:cs="Calibri"/>
                <w:color w:val="000000"/>
                <w:sz w:val="20"/>
                <w:szCs w:val="20"/>
              </w:rPr>
              <w:t>63</w:t>
            </w:r>
          </w:p>
        </w:tc>
      </w:tr>
      <w:tr w:rsidR="001656EF" w:rsidRPr="00472B97" w14:paraId="420B4400" w14:textId="77777777" w:rsidTr="00883148">
        <w:trPr>
          <w:trHeight w:val="300"/>
        </w:trPr>
        <w:tc>
          <w:tcPr>
            <w:tcW w:w="2380" w:type="dxa"/>
            <w:tcBorders>
              <w:top w:val="nil"/>
              <w:left w:val="nil"/>
              <w:bottom w:val="nil"/>
              <w:right w:val="nil"/>
            </w:tcBorders>
            <w:shd w:val="clear" w:color="auto" w:fill="auto"/>
            <w:noWrap/>
            <w:vAlign w:val="center"/>
            <w:hideMark/>
          </w:tcPr>
          <w:p w14:paraId="18C99D76" w14:textId="0F516911" w:rsidR="001656EF" w:rsidRPr="008A7DD9" w:rsidRDefault="00883148" w:rsidP="00883148">
            <w:pPr>
              <w:rPr>
                <w:rFonts w:ascii="Calibri" w:hAnsi="Calibri" w:cs="Calibri"/>
                <w:color w:val="000000"/>
                <w:sz w:val="20"/>
                <w:szCs w:val="20"/>
              </w:rPr>
            </w:pPr>
            <w:r>
              <w:rPr>
                <w:rFonts w:ascii="Calibri" w:hAnsi="Calibri" w:cs="Calibri"/>
                <w:color w:val="000000"/>
                <w:sz w:val="20"/>
                <w:szCs w:val="20"/>
              </w:rPr>
              <w:t>Boston MSA</w:t>
            </w:r>
          </w:p>
        </w:tc>
        <w:tc>
          <w:tcPr>
            <w:tcW w:w="800" w:type="dxa"/>
            <w:tcBorders>
              <w:top w:val="nil"/>
              <w:left w:val="nil"/>
              <w:bottom w:val="nil"/>
              <w:right w:val="nil"/>
            </w:tcBorders>
            <w:shd w:val="clear" w:color="auto" w:fill="auto"/>
            <w:noWrap/>
            <w:vAlign w:val="bottom"/>
            <w:hideMark/>
          </w:tcPr>
          <w:p w14:paraId="09AA892B" w14:textId="60E814D9" w:rsidR="001656EF" w:rsidRPr="008A7DD9" w:rsidRDefault="00B67AC8" w:rsidP="00B67AC8">
            <w:pPr>
              <w:jc w:val="right"/>
              <w:rPr>
                <w:rFonts w:ascii="Calibri" w:hAnsi="Calibri" w:cs="Calibri"/>
                <w:color w:val="000000"/>
                <w:sz w:val="20"/>
                <w:szCs w:val="20"/>
              </w:rPr>
            </w:pPr>
            <w:r>
              <w:rPr>
                <w:rFonts w:ascii="Calibri" w:hAnsi="Calibri" w:cs="Calibri"/>
                <w:color w:val="000000"/>
                <w:sz w:val="20"/>
                <w:szCs w:val="20"/>
              </w:rPr>
              <w:t>138</w:t>
            </w:r>
          </w:p>
        </w:tc>
        <w:tc>
          <w:tcPr>
            <w:tcW w:w="1140" w:type="dxa"/>
            <w:tcBorders>
              <w:top w:val="nil"/>
              <w:left w:val="nil"/>
              <w:bottom w:val="nil"/>
              <w:right w:val="nil"/>
            </w:tcBorders>
            <w:shd w:val="clear" w:color="auto" w:fill="auto"/>
            <w:noWrap/>
            <w:vAlign w:val="bottom"/>
            <w:hideMark/>
          </w:tcPr>
          <w:p w14:paraId="6E5CED2B" w14:textId="0BFADEF2" w:rsidR="001656EF" w:rsidRPr="008A7DD9" w:rsidRDefault="00AE4534" w:rsidP="00B67AC8">
            <w:pPr>
              <w:jc w:val="right"/>
              <w:rPr>
                <w:rFonts w:ascii="Calibri" w:hAnsi="Calibri" w:cs="Calibri"/>
                <w:color w:val="000000"/>
                <w:sz w:val="20"/>
                <w:szCs w:val="20"/>
              </w:rPr>
            </w:pPr>
            <w:r>
              <w:rPr>
                <w:rFonts w:ascii="Calibri" w:hAnsi="Calibri" w:cs="Calibri"/>
                <w:color w:val="000000"/>
                <w:sz w:val="20"/>
                <w:szCs w:val="20"/>
              </w:rPr>
              <w:t xml:space="preserve"> </w:t>
            </w:r>
            <w:r w:rsidR="00B67AC8">
              <w:rPr>
                <w:rFonts w:ascii="Calibri" w:hAnsi="Calibri" w:cs="Calibri"/>
                <w:color w:val="000000"/>
                <w:sz w:val="20"/>
                <w:szCs w:val="20"/>
              </w:rPr>
              <w:t>.392</w:t>
            </w:r>
          </w:p>
        </w:tc>
        <w:tc>
          <w:tcPr>
            <w:tcW w:w="1140" w:type="dxa"/>
            <w:tcBorders>
              <w:top w:val="nil"/>
              <w:left w:val="nil"/>
              <w:bottom w:val="nil"/>
              <w:right w:val="nil"/>
            </w:tcBorders>
            <w:shd w:val="clear" w:color="auto" w:fill="auto"/>
            <w:noWrap/>
            <w:vAlign w:val="bottom"/>
            <w:hideMark/>
          </w:tcPr>
          <w:p w14:paraId="7E036D73" w14:textId="14721B05" w:rsidR="001656EF" w:rsidRPr="008A7DD9" w:rsidRDefault="001656EF" w:rsidP="00AE4534">
            <w:pPr>
              <w:jc w:val="right"/>
              <w:rPr>
                <w:rFonts w:ascii="Calibri" w:hAnsi="Calibri" w:cs="Calibri"/>
                <w:color w:val="000000"/>
                <w:sz w:val="20"/>
                <w:szCs w:val="20"/>
              </w:rPr>
            </w:pPr>
            <w:r w:rsidRPr="008A7DD9">
              <w:rPr>
                <w:rFonts w:ascii="Calibri" w:hAnsi="Calibri" w:cs="Calibri"/>
                <w:color w:val="000000"/>
                <w:sz w:val="20"/>
                <w:szCs w:val="20"/>
              </w:rPr>
              <w:t>0.0</w:t>
            </w:r>
          </w:p>
        </w:tc>
        <w:tc>
          <w:tcPr>
            <w:tcW w:w="1192" w:type="dxa"/>
            <w:tcBorders>
              <w:top w:val="nil"/>
              <w:left w:val="nil"/>
              <w:bottom w:val="nil"/>
              <w:right w:val="nil"/>
            </w:tcBorders>
            <w:shd w:val="clear" w:color="auto" w:fill="auto"/>
            <w:noWrap/>
            <w:vAlign w:val="bottom"/>
            <w:hideMark/>
          </w:tcPr>
          <w:p w14:paraId="648AC518" w14:textId="17D7E1BB" w:rsidR="001656EF" w:rsidRPr="008A7DD9" w:rsidRDefault="001656EF" w:rsidP="00AE4534">
            <w:pPr>
              <w:jc w:val="right"/>
              <w:rPr>
                <w:rFonts w:ascii="Calibri" w:hAnsi="Calibri" w:cs="Calibri"/>
                <w:color w:val="000000"/>
                <w:sz w:val="20"/>
                <w:szCs w:val="20"/>
              </w:rPr>
            </w:pPr>
            <w:r w:rsidRPr="008A7DD9">
              <w:rPr>
                <w:rFonts w:ascii="Calibri" w:hAnsi="Calibri" w:cs="Calibri"/>
                <w:color w:val="000000"/>
                <w:sz w:val="20"/>
                <w:szCs w:val="20"/>
              </w:rPr>
              <w:t>0</w:t>
            </w:r>
          </w:p>
        </w:tc>
        <w:tc>
          <w:tcPr>
            <w:tcW w:w="1233" w:type="dxa"/>
            <w:tcBorders>
              <w:top w:val="nil"/>
              <w:left w:val="nil"/>
              <w:bottom w:val="nil"/>
              <w:right w:val="nil"/>
            </w:tcBorders>
            <w:shd w:val="clear" w:color="auto" w:fill="auto"/>
            <w:noWrap/>
            <w:vAlign w:val="bottom"/>
            <w:hideMark/>
          </w:tcPr>
          <w:p w14:paraId="3AB80E59" w14:textId="263C8742" w:rsidR="001656EF" w:rsidRPr="008A7DD9" w:rsidRDefault="00AE4534" w:rsidP="00AE4534">
            <w:pPr>
              <w:jc w:val="right"/>
              <w:rPr>
                <w:rFonts w:ascii="Calibri" w:hAnsi="Calibri" w:cs="Calibri"/>
                <w:color w:val="000000"/>
                <w:sz w:val="20"/>
                <w:szCs w:val="20"/>
              </w:rPr>
            </w:pPr>
            <w:r>
              <w:rPr>
                <w:rFonts w:ascii="Calibri" w:hAnsi="Calibri" w:cs="Calibri"/>
                <w:color w:val="000000"/>
                <w:sz w:val="20"/>
                <w:szCs w:val="20"/>
              </w:rPr>
              <w:t>1</w:t>
            </w:r>
          </w:p>
        </w:tc>
      </w:tr>
    </w:tbl>
    <w:p w14:paraId="38A8E759" w14:textId="1675E997" w:rsidR="00150311" w:rsidRDefault="00150311" w:rsidP="00AA3E43">
      <w:pPr>
        <w:rPr>
          <w:b/>
        </w:rPr>
      </w:pPr>
    </w:p>
    <w:p w14:paraId="448EFDFA" w14:textId="3CB23B88" w:rsidR="001656EF" w:rsidRDefault="001656EF" w:rsidP="00AA3E43">
      <w:pPr>
        <w:rPr>
          <w:b/>
        </w:rPr>
      </w:pPr>
    </w:p>
    <w:p w14:paraId="406A5566" w14:textId="2C8C0C84" w:rsidR="00CF3617" w:rsidRDefault="00631DB4" w:rsidP="00081B9B">
      <w:r>
        <w:tab/>
        <w:t xml:space="preserve">The </w:t>
      </w:r>
      <w:r w:rsidR="00C72F94">
        <w:t xml:space="preserve">virus </w:t>
      </w:r>
      <w:r>
        <w:t xml:space="preserve">case rate exhibits wide variation – </w:t>
      </w:r>
      <w:r w:rsidR="00C72F94">
        <w:t>about 7</w:t>
      </w:r>
      <w:r w:rsidR="0087010B">
        <w:t xml:space="preserve">0 fold – on both dates. </w:t>
      </w:r>
      <w:r>
        <w:t xml:space="preserve"> Density varies even more, so much so that we also identified town’s that lie within the greater Boston MSA and will run separate analysis for that subset – to eliminate truly rural areas of the state. </w:t>
      </w:r>
      <w:r w:rsidR="00C72F94">
        <w:t xml:space="preserve">In this subsample the minimum density is closer to </w:t>
      </w:r>
      <w:r w:rsidR="00EE3A52">
        <w:t>160</w:t>
      </w:r>
      <w:r w:rsidR="00C72F94">
        <w:t xml:space="preserve">. </w:t>
      </w:r>
      <w:r w:rsidR="00CF3617">
        <w:t xml:space="preserve">The share of land use </w:t>
      </w:r>
      <w:r w:rsidR="00896019">
        <w:t xml:space="preserve">in </w:t>
      </w:r>
      <w:r w:rsidR="00CF3617">
        <w:t xml:space="preserve">the commercial-industrial category runs from zero up to a </w:t>
      </w:r>
      <w:r w:rsidR="00C72F94">
        <w:t xml:space="preserve">very large </w:t>
      </w:r>
      <w:r w:rsidR="00CF3617">
        <w:t xml:space="preserve">63%. There </w:t>
      </w:r>
      <w:r w:rsidR="00D47007">
        <w:t>is</w:t>
      </w:r>
      <w:r w:rsidR="00CF3617">
        <w:t xml:space="preserve"> </w:t>
      </w:r>
      <w:r w:rsidR="004935FC">
        <w:t>a h</w:t>
      </w:r>
      <w:r w:rsidR="00CF3617">
        <w:t xml:space="preserve">alf dozen communities in the Commonwealth where commercial and industrial activity accounts for the majority of the capital stock.  </w:t>
      </w:r>
    </w:p>
    <w:p w14:paraId="133CA435" w14:textId="2830433D" w:rsidR="00440798" w:rsidRDefault="00CF3617" w:rsidP="00081B9B">
      <w:r>
        <w:tab/>
      </w:r>
    </w:p>
    <w:p w14:paraId="18743762" w14:textId="65C7DD64" w:rsidR="00081B9B" w:rsidRDefault="0072084A" w:rsidP="00081B9B">
      <w:pPr>
        <w:rPr>
          <w:b/>
        </w:rPr>
      </w:pPr>
      <w:r>
        <w:rPr>
          <w:b/>
        </w:rPr>
        <w:t>I</w:t>
      </w:r>
      <w:r w:rsidR="00081B9B">
        <w:rPr>
          <w:b/>
        </w:rPr>
        <w:t xml:space="preserve">V. </w:t>
      </w:r>
      <w:r w:rsidR="00883148">
        <w:rPr>
          <w:b/>
        </w:rPr>
        <w:t>Estimation</w:t>
      </w:r>
      <w:r>
        <w:rPr>
          <w:b/>
        </w:rPr>
        <w:t xml:space="preserve"> re</w:t>
      </w:r>
      <w:r w:rsidR="00CA364D">
        <w:rPr>
          <w:b/>
        </w:rPr>
        <w:t xml:space="preserve">sults </w:t>
      </w:r>
    </w:p>
    <w:p w14:paraId="3D7D71EF" w14:textId="410427C3" w:rsidR="00B256C6" w:rsidRDefault="00B256C6" w:rsidP="00081B9B">
      <w:pPr>
        <w:rPr>
          <w:b/>
        </w:rPr>
      </w:pPr>
    </w:p>
    <w:p w14:paraId="577648C4" w14:textId="70F94E5A" w:rsidR="008C7D74" w:rsidRDefault="008C7D74" w:rsidP="00081B9B">
      <w:r>
        <w:rPr>
          <w:b/>
        </w:rPr>
        <w:tab/>
      </w:r>
      <w:r w:rsidR="00CF3617">
        <w:t>In all regressions, the dependent variable is the log of cases per 100000 population</w:t>
      </w:r>
      <w:r w:rsidR="0087010B">
        <w:t xml:space="preserve"> either on 4/15 or 5/6</w:t>
      </w:r>
      <w:r w:rsidR="00CF3617">
        <w:t xml:space="preserve">. We experimented with each independent variable, entering it either in logs or linearly, as described in equation (1). The result with the best fit was to enter </w:t>
      </w:r>
      <w:r w:rsidR="0087010B">
        <w:t xml:space="preserve">all three variables in logs. </w:t>
      </w:r>
      <w:r w:rsidR="00CF3617">
        <w:t xml:space="preserve"> These results are shown in Table 2, both for the full sample of 269 towns (with non-truncated data) as well as the 138 town</w:t>
      </w:r>
      <w:r w:rsidR="00C72F94">
        <w:t>s</w:t>
      </w:r>
      <w:r w:rsidR="00CF3617">
        <w:t xml:space="preserve"> that are part of the greater Boston MSA. The impact of density and land use seems quite robust to this choice of sample, but town income is important only when considering the </w:t>
      </w:r>
      <w:r w:rsidR="004935FC">
        <w:t xml:space="preserve">eastern, developed </w:t>
      </w:r>
      <w:r w:rsidR="00CF3617">
        <w:t xml:space="preserve">portion of the Commonwealth. </w:t>
      </w:r>
    </w:p>
    <w:p w14:paraId="00AA34B1" w14:textId="77777777" w:rsidR="0051581E" w:rsidRDefault="0051581E" w:rsidP="00081B9B">
      <w:pPr>
        <w:rPr>
          <w:b/>
        </w:rPr>
      </w:pPr>
    </w:p>
    <w:p w14:paraId="1088B4AB" w14:textId="5D110647" w:rsidR="00564C6A" w:rsidRDefault="008A7DD9" w:rsidP="00081B9B">
      <w:pPr>
        <w:rPr>
          <w:b/>
        </w:rPr>
      </w:pPr>
      <w:r>
        <w:rPr>
          <w:b/>
        </w:rPr>
        <w:t xml:space="preserve">Table </w:t>
      </w:r>
      <w:r w:rsidR="008C7D74">
        <w:rPr>
          <w:b/>
        </w:rPr>
        <w:t>2</w:t>
      </w:r>
      <w:r>
        <w:rPr>
          <w:b/>
        </w:rPr>
        <w:t>: MSA Regressions</w:t>
      </w:r>
      <w:r w:rsidR="0051581E">
        <w:rPr>
          <w:b/>
        </w:rPr>
        <w:t xml:space="preserve">, dependent variable: </w:t>
      </w:r>
      <w:r w:rsidR="008C7D74">
        <w:rPr>
          <w:b/>
        </w:rPr>
        <w:t>log (</w:t>
      </w:r>
      <w:r w:rsidR="0051581E">
        <w:rPr>
          <w:b/>
        </w:rPr>
        <w:t>cases</w:t>
      </w:r>
      <w:r w:rsidR="00D514CA">
        <w:rPr>
          <w:b/>
        </w:rPr>
        <w:t>/</w:t>
      </w:r>
      <w:r w:rsidR="00B67AC8">
        <w:rPr>
          <w:b/>
        </w:rPr>
        <w:t xml:space="preserve">100000 </w:t>
      </w:r>
      <w:r w:rsidR="00D514CA">
        <w:rPr>
          <w:b/>
        </w:rPr>
        <w:t>population</w:t>
      </w:r>
      <w:r w:rsidR="0051581E">
        <w:rPr>
          <w:b/>
        </w:rPr>
        <w:t>)</w:t>
      </w:r>
    </w:p>
    <w:tbl>
      <w:tblPr>
        <w:tblW w:w="9360" w:type="dxa"/>
        <w:tblLook w:val="04A0" w:firstRow="1" w:lastRow="0" w:firstColumn="1" w:lastColumn="0" w:noHBand="0" w:noVBand="1"/>
      </w:tblPr>
      <w:tblGrid>
        <w:gridCol w:w="2520"/>
        <w:gridCol w:w="1220"/>
        <w:gridCol w:w="1540"/>
        <w:gridCol w:w="1290"/>
        <w:gridCol w:w="1350"/>
        <w:gridCol w:w="525"/>
        <w:gridCol w:w="915"/>
      </w:tblGrid>
      <w:tr w:rsidR="00C57D64" w:rsidRPr="0075454A" w14:paraId="5383CCB0" w14:textId="18A19B82" w:rsidTr="00B87ADA">
        <w:trPr>
          <w:trHeight w:val="300"/>
        </w:trPr>
        <w:tc>
          <w:tcPr>
            <w:tcW w:w="2520" w:type="dxa"/>
            <w:tcBorders>
              <w:top w:val="nil"/>
              <w:left w:val="nil"/>
              <w:bottom w:val="single" w:sz="4" w:space="0" w:color="auto"/>
              <w:right w:val="nil"/>
            </w:tcBorders>
            <w:shd w:val="clear" w:color="auto" w:fill="auto"/>
            <w:noWrap/>
            <w:vAlign w:val="bottom"/>
            <w:hideMark/>
          </w:tcPr>
          <w:p w14:paraId="5F095357" w14:textId="1D801576" w:rsidR="00C57D64" w:rsidRPr="0051581E" w:rsidRDefault="00C57D64" w:rsidP="00883148">
            <w:pPr>
              <w:rPr>
                <w:rFonts w:ascii="Calibri" w:hAnsi="Calibri" w:cs="Calibri"/>
                <w:b/>
                <w:color w:val="000000"/>
                <w:sz w:val="20"/>
                <w:szCs w:val="20"/>
              </w:rPr>
            </w:pPr>
            <w:r w:rsidRPr="0075454A">
              <w:rPr>
                <w:rFonts w:ascii="Calibri" w:hAnsi="Calibri" w:cs="Calibri"/>
                <w:color w:val="000000"/>
                <w:sz w:val="20"/>
                <w:szCs w:val="20"/>
              </w:rPr>
              <w:t> </w:t>
            </w:r>
            <w:r w:rsidRPr="0051581E">
              <w:rPr>
                <w:rFonts w:ascii="Calibri" w:hAnsi="Calibri" w:cs="Calibri"/>
                <w:b/>
                <w:color w:val="000000"/>
                <w:sz w:val="20"/>
                <w:szCs w:val="20"/>
              </w:rPr>
              <w:t>Independent</w:t>
            </w:r>
          </w:p>
        </w:tc>
        <w:tc>
          <w:tcPr>
            <w:tcW w:w="1220" w:type="dxa"/>
            <w:tcBorders>
              <w:top w:val="nil"/>
              <w:left w:val="nil"/>
              <w:bottom w:val="single" w:sz="4" w:space="0" w:color="auto"/>
              <w:right w:val="nil"/>
            </w:tcBorders>
            <w:shd w:val="clear" w:color="auto" w:fill="auto"/>
            <w:noWrap/>
            <w:vAlign w:val="bottom"/>
            <w:hideMark/>
          </w:tcPr>
          <w:p w14:paraId="29CA3CBF" w14:textId="7FBC3B92" w:rsidR="00C57D64" w:rsidRDefault="00C57D64" w:rsidP="0087010B">
            <w:pPr>
              <w:jc w:val="center"/>
              <w:rPr>
                <w:rFonts w:ascii="Calibri" w:hAnsi="Calibri" w:cs="Calibri"/>
                <w:b/>
                <w:bCs/>
                <w:color w:val="000000"/>
                <w:sz w:val="20"/>
                <w:szCs w:val="20"/>
              </w:rPr>
            </w:pPr>
            <w:r>
              <w:rPr>
                <w:rFonts w:ascii="Calibri" w:hAnsi="Calibri" w:cs="Calibri"/>
                <w:b/>
                <w:bCs/>
                <w:color w:val="000000"/>
                <w:sz w:val="20"/>
                <w:szCs w:val="20"/>
              </w:rPr>
              <w:t xml:space="preserve">   4/15: All</w:t>
            </w:r>
          </w:p>
          <w:p w14:paraId="03CF14CA" w14:textId="4E892E26" w:rsidR="00C57D64" w:rsidRPr="0075454A" w:rsidRDefault="00C57D64" w:rsidP="0087010B">
            <w:pPr>
              <w:jc w:val="center"/>
              <w:rPr>
                <w:rFonts w:ascii="Calibri" w:hAnsi="Calibri" w:cs="Calibri"/>
                <w:b/>
                <w:bCs/>
                <w:color w:val="000000"/>
                <w:sz w:val="20"/>
                <w:szCs w:val="20"/>
              </w:rPr>
            </w:pPr>
            <w:r>
              <w:rPr>
                <w:rFonts w:ascii="Calibri" w:hAnsi="Calibri" w:cs="Calibri"/>
                <w:b/>
                <w:bCs/>
                <w:color w:val="000000"/>
                <w:sz w:val="20"/>
                <w:szCs w:val="20"/>
              </w:rPr>
              <w:t xml:space="preserve">     Towns   </w:t>
            </w:r>
          </w:p>
        </w:tc>
        <w:tc>
          <w:tcPr>
            <w:tcW w:w="1540" w:type="dxa"/>
            <w:tcBorders>
              <w:top w:val="nil"/>
              <w:left w:val="nil"/>
              <w:bottom w:val="single" w:sz="4" w:space="0" w:color="auto"/>
              <w:right w:val="nil"/>
            </w:tcBorders>
            <w:shd w:val="clear" w:color="auto" w:fill="auto"/>
            <w:noWrap/>
            <w:vAlign w:val="bottom"/>
            <w:hideMark/>
          </w:tcPr>
          <w:p w14:paraId="7FC56F41" w14:textId="73465316" w:rsidR="00C57D64" w:rsidRDefault="00C57D64" w:rsidP="00883148">
            <w:pPr>
              <w:jc w:val="center"/>
              <w:rPr>
                <w:rFonts w:ascii="Calibri" w:hAnsi="Calibri" w:cs="Calibri"/>
                <w:b/>
                <w:bCs/>
                <w:color w:val="000000"/>
                <w:sz w:val="20"/>
                <w:szCs w:val="20"/>
              </w:rPr>
            </w:pPr>
            <w:r>
              <w:rPr>
                <w:rFonts w:ascii="Calibri" w:hAnsi="Calibri" w:cs="Calibri"/>
                <w:b/>
                <w:bCs/>
                <w:color w:val="000000"/>
                <w:sz w:val="20"/>
                <w:szCs w:val="20"/>
              </w:rPr>
              <w:t xml:space="preserve">       4/15:</w:t>
            </w:r>
          </w:p>
          <w:p w14:paraId="3A5D373D" w14:textId="385FD481" w:rsidR="00C57D64" w:rsidRPr="0075454A" w:rsidRDefault="00C57D64" w:rsidP="00883148">
            <w:pPr>
              <w:jc w:val="center"/>
              <w:rPr>
                <w:rFonts w:ascii="Calibri" w:hAnsi="Calibri" w:cs="Calibri"/>
                <w:b/>
                <w:bCs/>
                <w:color w:val="000000"/>
                <w:sz w:val="20"/>
                <w:szCs w:val="20"/>
              </w:rPr>
            </w:pPr>
            <w:r>
              <w:rPr>
                <w:rFonts w:ascii="Calibri" w:hAnsi="Calibri" w:cs="Calibri"/>
                <w:b/>
                <w:bCs/>
                <w:color w:val="000000"/>
                <w:sz w:val="20"/>
                <w:szCs w:val="20"/>
              </w:rPr>
              <w:t xml:space="preserve">       Boston</w:t>
            </w:r>
          </w:p>
        </w:tc>
        <w:tc>
          <w:tcPr>
            <w:tcW w:w="1290" w:type="dxa"/>
            <w:tcBorders>
              <w:top w:val="nil"/>
              <w:left w:val="nil"/>
              <w:bottom w:val="single" w:sz="4" w:space="0" w:color="auto"/>
              <w:right w:val="nil"/>
            </w:tcBorders>
          </w:tcPr>
          <w:p w14:paraId="0DCF037D" w14:textId="77777777" w:rsidR="00C57D64" w:rsidRDefault="00C57D64" w:rsidP="00883148">
            <w:pPr>
              <w:jc w:val="center"/>
              <w:rPr>
                <w:rFonts w:ascii="Calibri" w:hAnsi="Calibri" w:cs="Calibri"/>
                <w:b/>
                <w:bCs/>
                <w:color w:val="000000"/>
                <w:sz w:val="20"/>
                <w:szCs w:val="20"/>
              </w:rPr>
            </w:pPr>
            <w:r>
              <w:rPr>
                <w:rFonts w:ascii="Calibri" w:hAnsi="Calibri" w:cs="Calibri"/>
                <w:b/>
                <w:bCs/>
                <w:color w:val="000000"/>
                <w:sz w:val="20"/>
                <w:szCs w:val="20"/>
              </w:rPr>
              <w:t>5/6: All</w:t>
            </w:r>
          </w:p>
          <w:p w14:paraId="1353E8D3" w14:textId="1161858C" w:rsidR="00C57D64" w:rsidRDefault="00C57D64" w:rsidP="0087010B">
            <w:pPr>
              <w:jc w:val="center"/>
              <w:rPr>
                <w:rFonts w:ascii="Calibri" w:hAnsi="Calibri" w:cs="Calibri"/>
                <w:b/>
                <w:bCs/>
                <w:color w:val="000000"/>
                <w:sz w:val="20"/>
                <w:szCs w:val="20"/>
              </w:rPr>
            </w:pPr>
            <w:r>
              <w:rPr>
                <w:rFonts w:ascii="Calibri" w:hAnsi="Calibri" w:cs="Calibri"/>
                <w:b/>
                <w:bCs/>
                <w:color w:val="000000"/>
                <w:sz w:val="20"/>
                <w:szCs w:val="20"/>
              </w:rPr>
              <w:t xml:space="preserve"> Towns</w:t>
            </w:r>
          </w:p>
        </w:tc>
        <w:tc>
          <w:tcPr>
            <w:tcW w:w="1350" w:type="dxa"/>
            <w:tcBorders>
              <w:top w:val="nil"/>
              <w:left w:val="nil"/>
              <w:bottom w:val="single" w:sz="4" w:space="0" w:color="auto"/>
              <w:right w:val="nil"/>
            </w:tcBorders>
          </w:tcPr>
          <w:p w14:paraId="63ED1256" w14:textId="77777777" w:rsidR="00C57D64" w:rsidRDefault="00C57D64" w:rsidP="00883148">
            <w:pPr>
              <w:jc w:val="center"/>
              <w:rPr>
                <w:rFonts w:ascii="Calibri" w:hAnsi="Calibri" w:cs="Calibri"/>
                <w:b/>
                <w:bCs/>
                <w:color w:val="000000"/>
                <w:sz w:val="20"/>
                <w:szCs w:val="20"/>
              </w:rPr>
            </w:pPr>
            <w:r>
              <w:rPr>
                <w:rFonts w:ascii="Calibri" w:hAnsi="Calibri" w:cs="Calibri"/>
                <w:b/>
                <w:bCs/>
                <w:color w:val="000000"/>
                <w:sz w:val="20"/>
                <w:szCs w:val="20"/>
              </w:rPr>
              <w:t xml:space="preserve">5/6: </w:t>
            </w:r>
          </w:p>
          <w:p w14:paraId="0C32EF7A" w14:textId="27E1EF64" w:rsidR="00C57D64" w:rsidRDefault="00C57D64" w:rsidP="00883148">
            <w:pPr>
              <w:jc w:val="center"/>
              <w:rPr>
                <w:rFonts w:ascii="Calibri" w:hAnsi="Calibri" w:cs="Calibri"/>
                <w:b/>
                <w:bCs/>
                <w:color w:val="000000"/>
                <w:sz w:val="20"/>
                <w:szCs w:val="20"/>
              </w:rPr>
            </w:pPr>
            <w:r>
              <w:rPr>
                <w:rFonts w:ascii="Calibri" w:hAnsi="Calibri" w:cs="Calibri"/>
                <w:b/>
                <w:bCs/>
                <w:color w:val="000000"/>
                <w:sz w:val="20"/>
                <w:szCs w:val="20"/>
              </w:rPr>
              <w:t>Boston</w:t>
            </w:r>
          </w:p>
        </w:tc>
        <w:tc>
          <w:tcPr>
            <w:tcW w:w="525" w:type="dxa"/>
            <w:tcBorders>
              <w:top w:val="nil"/>
              <w:left w:val="nil"/>
              <w:bottom w:val="single" w:sz="4" w:space="0" w:color="auto"/>
              <w:right w:val="nil"/>
            </w:tcBorders>
          </w:tcPr>
          <w:p w14:paraId="60F9246E" w14:textId="77777777" w:rsidR="00C57D64" w:rsidRDefault="00C57D64" w:rsidP="00883148">
            <w:pPr>
              <w:jc w:val="center"/>
              <w:rPr>
                <w:rFonts w:ascii="Calibri" w:hAnsi="Calibri" w:cs="Calibri"/>
                <w:b/>
                <w:bCs/>
                <w:color w:val="000000"/>
                <w:sz w:val="20"/>
                <w:szCs w:val="20"/>
              </w:rPr>
            </w:pPr>
          </w:p>
        </w:tc>
        <w:tc>
          <w:tcPr>
            <w:tcW w:w="915" w:type="dxa"/>
            <w:tcBorders>
              <w:top w:val="nil"/>
              <w:left w:val="nil"/>
              <w:bottom w:val="single" w:sz="4" w:space="0" w:color="auto"/>
              <w:right w:val="nil"/>
            </w:tcBorders>
          </w:tcPr>
          <w:p w14:paraId="0AD78BDE" w14:textId="1279AD46" w:rsidR="00C57D64" w:rsidRDefault="00C57D64" w:rsidP="00883148">
            <w:pPr>
              <w:jc w:val="center"/>
              <w:rPr>
                <w:rFonts w:ascii="Calibri" w:hAnsi="Calibri" w:cs="Calibri"/>
                <w:b/>
                <w:bCs/>
                <w:color w:val="000000"/>
                <w:sz w:val="20"/>
                <w:szCs w:val="20"/>
              </w:rPr>
            </w:pPr>
          </w:p>
        </w:tc>
      </w:tr>
      <w:tr w:rsidR="00C57D64" w:rsidRPr="008A7DD9" w14:paraId="0547C0E1" w14:textId="0A1D7BA0" w:rsidTr="00B87ADA">
        <w:trPr>
          <w:trHeight w:val="300"/>
        </w:trPr>
        <w:tc>
          <w:tcPr>
            <w:tcW w:w="2520" w:type="dxa"/>
            <w:tcBorders>
              <w:top w:val="nil"/>
              <w:left w:val="nil"/>
              <w:bottom w:val="nil"/>
              <w:right w:val="nil"/>
            </w:tcBorders>
            <w:shd w:val="clear" w:color="auto" w:fill="auto"/>
            <w:noWrap/>
            <w:vAlign w:val="center"/>
            <w:hideMark/>
          </w:tcPr>
          <w:p w14:paraId="025069A3" w14:textId="773C3362" w:rsidR="00C57D64" w:rsidRPr="008A7DD9" w:rsidRDefault="00C57D64"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R-squared</w:t>
            </w:r>
          </w:p>
        </w:tc>
        <w:tc>
          <w:tcPr>
            <w:tcW w:w="1220" w:type="dxa"/>
            <w:tcBorders>
              <w:top w:val="nil"/>
              <w:left w:val="nil"/>
              <w:bottom w:val="nil"/>
              <w:right w:val="nil"/>
            </w:tcBorders>
            <w:shd w:val="clear" w:color="auto" w:fill="auto"/>
            <w:noWrap/>
            <w:vAlign w:val="bottom"/>
            <w:hideMark/>
          </w:tcPr>
          <w:p w14:paraId="61F142B1" w14:textId="1DA8E0B5" w:rsidR="00C57D64" w:rsidRPr="008A7DD9" w:rsidRDefault="00525EA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0</w:t>
            </w:r>
            <w:r w:rsidR="00C57D64" w:rsidRPr="008A7DD9">
              <w:rPr>
                <w:rFonts w:asciiTheme="minorHAnsi" w:hAnsiTheme="minorHAnsi" w:cstheme="minorHAnsi"/>
                <w:color w:val="000000"/>
                <w:sz w:val="20"/>
                <w:szCs w:val="20"/>
              </w:rPr>
              <w:t>.</w:t>
            </w:r>
            <w:r w:rsidR="00C57D64">
              <w:rPr>
                <w:rFonts w:asciiTheme="minorHAnsi" w:hAnsiTheme="minorHAnsi" w:cstheme="minorHAnsi"/>
                <w:color w:val="000000"/>
                <w:sz w:val="20"/>
                <w:szCs w:val="20"/>
              </w:rPr>
              <w:t>2</w:t>
            </w:r>
            <w:r>
              <w:rPr>
                <w:rFonts w:asciiTheme="minorHAnsi" w:hAnsiTheme="minorHAnsi" w:cstheme="minorHAnsi"/>
                <w:color w:val="000000"/>
                <w:sz w:val="20"/>
                <w:szCs w:val="20"/>
              </w:rPr>
              <w:t>15</w:t>
            </w:r>
          </w:p>
        </w:tc>
        <w:tc>
          <w:tcPr>
            <w:tcW w:w="1540" w:type="dxa"/>
            <w:tcBorders>
              <w:top w:val="nil"/>
              <w:left w:val="nil"/>
              <w:bottom w:val="nil"/>
              <w:right w:val="nil"/>
            </w:tcBorders>
            <w:shd w:val="clear" w:color="auto" w:fill="auto"/>
            <w:noWrap/>
            <w:vAlign w:val="bottom"/>
            <w:hideMark/>
          </w:tcPr>
          <w:p w14:paraId="7F986E25" w14:textId="40DCEB68"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4</w:t>
            </w:r>
            <w:r w:rsidR="00525EA4">
              <w:rPr>
                <w:rFonts w:asciiTheme="minorHAnsi" w:hAnsiTheme="minorHAnsi" w:cstheme="minorHAnsi"/>
                <w:color w:val="000000"/>
                <w:sz w:val="20"/>
                <w:szCs w:val="20"/>
              </w:rPr>
              <w:t>71</w:t>
            </w:r>
          </w:p>
        </w:tc>
        <w:tc>
          <w:tcPr>
            <w:tcW w:w="1290" w:type="dxa"/>
            <w:tcBorders>
              <w:top w:val="nil"/>
              <w:left w:val="nil"/>
              <w:bottom w:val="nil"/>
              <w:right w:val="nil"/>
            </w:tcBorders>
          </w:tcPr>
          <w:p w14:paraId="4572564F" w14:textId="2D47FB63" w:rsidR="00C57D64" w:rsidRPr="008A7DD9" w:rsidRDefault="00C57D64"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0.440       </w:t>
            </w:r>
          </w:p>
        </w:tc>
        <w:tc>
          <w:tcPr>
            <w:tcW w:w="1350" w:type="dxa"/>
            <w:tcBorders>
              <w:top w:val="nil"/>
              <w:left w:val="nil"/>
              <w:bottom w:val="nil"/>
              <w:right w:val="nil"/>
            </w:tcBorders>
          </w:tcPr>
          <w:p w14:paraId="0C45061E" w14:textId="56AAEE7E" w:rsidR="00C57D64" w:rsidRDefault="00C57D64" w:rsidP="00B87ADA">
            <w:pPr>
              <w:jc w:val="right"/>
              <w:rPr>
                <w:rFonts w:asciiTheme="minorHAnsi" w:hAnsiTheme="minorHAnsi" w:cstheme="minorHAnsi"/>
                <w:color w:val="000000"/>
                <w:sz w:val="20"/>
                <w:szCs w:val="20"/>
              </w:rPr>
            </w:pPr>
            <w:r>
              <w:rPr>
                <w:rFonts w:asciiTheme="minorHAnsi" w:hAnsiTheme="minorHAnsi" w:cstheme="minorHAnsi"/>
                <w:color w:val="000000"/>
                <w:sz w:val="20"/>
                <w:szCs w:val="20"/>
              </w:rPr>
              <w:t>0.5</w:t>
            </w:r>
            <w:r w:rsidR="00B87ADA">
              <w:rPr>
                <w:rFonts w:asciiTheme="minorHAnsi" w:hAnsiTheme="minorHAnsi" w:cstheme="minorHAnsi"/>
                <w:color w:val="000000"/>
                <w:sz w:val="20"/>
                <w:szCs w:val="20"/>
              </w:rPr>
              <w:t>91</w:t>
            </w:r>
          </w:p>
        </w:tc>
        <w:tc>
          <w:tcPr>
            <w:tcW w:w="525" w:type="dxa"/>
            <w:tcBorders>
              <w:top w:val="nil"/>
              <w:left w:val="nil"/>
              <w:bottom w:val="nil"/>
              <w:right w:val="nil"/>
            </w:tcBorders>
          </w:tcPr>
          <w:p w14:paraId="3F240953" w14:textId="77777777" w:rsidR="00C57D64" w:rsidRDefault="00C57D64" w:rsidP="00B67AC8">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281C508A" w14:textId="50F76D2C" w:rsidR="00C57D64" w:rsidRDefault="00C57D64" w:rsidP="00B67AC8">
            <w:pPr>
              <w:jc w:val="right"/>
              <w:rPr>
                <w:rFonts w:asciiTheme="minorHAnsi" w:hAnsiTheme="minorHAnsi" w:cstheme="minorHAnsi"/>
                <w:color w:val="000000"/>
                <w:sz w:val="20"/>
                <w:szCs w:val="20"/>
              </w:rPr>
            </w:pPr>
          </w:p>
        </w:tc>
      </w:tr>
      <w:tr w:rsidR="00C57D64" w:rsidRPr="008A7DD9" w14:paraId="1E0614F0" w14:textId="614A8670" w:rsidTr="00B87ADA">
        <w:trPr>
          <w:trHeight w:val="300"/>
        </w:trPr>
        <w:tc>
          <w:tcPr>
            <w:tcW w:w="2520" w:type="dxa"/>
            <w:tcBorders>
              <w:top w:val="nil"/>
              <w:left w:val="nil"/>
              <w:bottom w:val="nil"/>
              <w:right w:val="nil"/>
            </w:tcBorders>
            <w:shd w:val="clear" w:color="auto" w:fill="auto"/>
            <w:noWrap/>
            <w:vAlign w:val="center"/>
            <w:hideMark/>
          </w:tcPr>
          <w:p w14:paraId="2CBF3003" w14:textId="77777777" w:rsidR="00C57D64" w:rsidRPr="008A7DD9" w:rsidRDefault="00C57D64"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Constant</w:t>
            </w:r>
          </w:p>
        </w:tc>
        <w:tc>
          <w:tcPr>
            <w:tcW w:w="1220" w:type="dxa"/>
            <w:tcBorders>
              <w:top w:val="nil"/>
              <w:left w:val="nil"/>
              <w:bottom w:val="nil"/>
              <w:right w:val="nil"/>
            </w:tcBorders>
            <w:shd w:val="clear" w:color="auto" w:fill="auto"/>
            <w:noWrap/>
            <w:vAlign w:val="bottom"/>
            <w:hideMark/>
          </w:tcPr>
          <w:p w14:paraId="3DA1A660" w14:textId="0F42FA5B" w:rsidR="00C57D64" w:rsidRPr="008A7DD9" w:rsidRDefault="00C57D6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5.</w:t>
            </w:r>
            <w:r w:rsidR="00525EA4">
              <w:rPr>
                <w:rFonts w:asciiTheme="minorHAnsi" w:hAnsiTheme="minorHAnsi" w:cstheme="minorHAnsi"/>
                <w:color w:val="000000"/>
                <w:sz w:val="20"/>
                <w:szCs w:val="20"/>
              </w:rPr>
              <w:t>901</w:t>
            </w:r>
            <w:r>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7D788F0E" w14:textId="0E5858AC" w:rsidR="00C57D64" w:rsidRPr="008A7DD9" w:rsidRDefault="00525EA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8</w:t>
            </w:r>
            <w:r w:rsidR="00C57D64">
              <w:rPr>
                <w:rFonts w:asciiTheme="minorHAnsi" w:hAnsiTheme="minorHAnsi" w:cstheme="minorHAnsi"/>
                <w:color w:val="000000"/>
                <w:sz w:val="20"/>
                <w:szCs w:val="20"/>
              </w:rPr>
              <w:t>.</w:t>
            </w:r>
            <w:r>
              <w:rPr>
                <w:rFonts w:asciiTheme="minorHAnsi" w:hAnsiTheme="minorHAnsi" w:cstheme="minorHAnsi"/>
                <w:color w:val="000000"/>
                <w:sz w:val="20"/>
                <w:szCs w:val="20"/>
              </w:rPr>
              <w:t>464</w:t>
            </w:r>
            <w:r w:rsidR="00C57D64">
              <w:rPr>
                <w:rFonts w:asciiTheme="minorHAnsi" w:hAnsiTheme="minorHAnsi" w:cstheme="minorHAnsi"/>
                <w:color w:val="000000"/>
                <w:sz w:val="20"/>
                <w:szCs w:val="20"/>
              </w:rPr>
              <w:t>***</w:t>
            </w:r>
          </w:p>
        </w:tc>
        <w:tc>
          <w:tcPr>
            <w:tcW w:w="1290" w:type="dxa"/>
            <w:tcBorders>
              <w:top w:val="nil"/>
              <w:left w:val="nil"/>
              <w:bottom w:val="nil"/>
              <w:right w:val="nil"/>
            </w:tcBorders>
          </w:tcPr>
          <w:p w14:paraId="34C2753B" w14:textId="57CF57B9" w:rsidR="00C57D64" w:rsidRDefault="00C57D64"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7.48***</w:t>
            </w:r>
          </w:p>
        </w:tc>
        <w:tc>
          <w:tcPr>
            <w:tcW w:w="1350" w:type="dxa"/>
            <w:tcBorders>
              <w:top w:val="nil"/>
              <w:left w:val="nil"/>
              <w:bottom w:val="nil"/>
              <w:right w:val="nil"/>
            </w:tcBorders>
          </w:tcPr>
          <w:p w14:paraId="0FDA7F50" w14:textId="62BA6A4C" w:rsidR="00C57D64" w:rsidRDefault="00B87ADA"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11.118***</w:t>
            </w:r>
          </w:p>
        </w:tc>
        <w:tc>
          <w:tcPr>
            <w:tcW w:w="525" w:type="dxa"/>
            <w:tcBorders>
              <w:top w:val="nil"/>
              <w:left w:val="nil"/>
              <w:bottom w:val="nil"/>
              <w:right w:val="nil"/>
            </w:tcBorders>
          </w:tcPr>
          <w:p w14:paraId="1A0B8DBB" w14:textId="77777777" w:rsidR="00C57D64" w:rsidRDefault="00C57D64" w:rsidP="00B67AC8">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03145B65" w14:textId="648694E9" w:rsidR="00C57D64" w:rsidRDefault="00C57D64" w:rsidP="00B67AC8">
            <w:pPr>
              <w:jc w:val="right"/>
              <w:rPr>
                <w:rFonts w:asciiTheme="minorHAnsi" w:hAnsiTheme="minorHAnsi" w:cstheme="minorHAnsi"/>
                <w:color w:val="000000"/>
                <w:sz w:val="20"/>
                <w:szCs w:val="20"/>
              </w:rPr>
            </w:pPr>
          </w:p>
        </w:tc>
      </w:tr>
      <w:tr w:rsidR="00B87ADA" w:rsidRPr="008A7DD9" w14:paraId="5928CD71" w14:textId="77777777" w:rsidTr="00B87ADA">
        <w:trPr>
          <w:trHeight w:val="300"/>
        </w:trPr>
        <w:tc>
          <w:tcPr>
            <w:tcW w:w="2520" w:type="dxa"/>
            <w:tcBorders>
              <w:top w:val="nil"/>
              <w:left w:val="nil"/>
              <w:bottom w:val="nil"/>
              <w:right w:val="nil"/>
            </w:tcBorders>
            <w:shd w:val="clear" w:color="auto" w:fill="auto"/>
            <w:noWrap/>
            <w:vAlign w:val="center"/>
          </w:tcPr>
          <w:p w14:paraId="3931D7BF" w14:textId="77777777" w:rsidR="00B87ADA" w:rsidRPr="008A7DD9" w:rsidRDefault="00B87ADA" w:rsidP="00454173">
            <w:pPr>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tcPr>
          <w:p w14:paraId="482E8A43" w14:textId="7A6B03E4" w:rsidR="00B87ADA" w:rsidRPr="008A7DD9" w:rsidRDefault="00525EA4"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(1.255)</w:t>
            </w:r>
          </w:p>
        </w:tc>
        <w:tc>
          <w:tcPr>
            <w:tcW w:w="1540" w:type="dxa"/>
            <w:tcBorders>
              <w:top w:val="nil"/>
              <w:left w:val="nil"/>
              <w:bottom w:val="nil"/>
              <w:right w:val="nil"/>
            </w:tcBorders>
            <w:shd w:val="clear" w:color="auto" w:fill="auto"/>
            <w:noWrap/>
            <w:vAlign w:val="bottom"/>
          </w:tcPr>
          <w:p w14:paraId="3C7AF7F1" w14:textId="6D8F7C13" w:rsidR="00B87ADA" w:rsidRPr="008A7DD9" w:rsidRDefault="00525EA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(1.602)</w:t>
            </w:r>
          </w:p>
        </w:tc>
        <w:tc>
          <w:tcPr>
            <w:tcW w:w="1290" w:type="dxa"/>
            <w:tcBorders>
              <w:top w:val="nil"/>
              <w:left w:val="nil"/>
              <w:bottom w:val="nil"/>
              <w:right w:val="nil"/>
            </w:tcBorders>
          </w:tcPr>
          <w:p w14:paraId="5486BCF4" w14:textId="64B593B2" w:rsidR="00B87ADA"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(1.199)</w:t>
            </w:r>
          </w:p>
        </w:tc>
        <w:tc>
          <w:tcPr>
            <w:tcW w:w="1350" w:type="dxa"/>
            <w:tcBorders>
              <w:top w:val="nil"/>
              <w:left w:val="nil"/>
              <w:bottom w:val="nil"/>
              <w:right w:val="nil"/>
            </w:tcBorders>
          </w:tcPr>
          <w:p w14:paraId="500BC5C4" w14:textId="029507E1" w:rsidR="00B87ADA" w:rsidRPr="008A7DD9"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(1.616)</w:t>
            </w:r>
          </w:p>
        </w:tc>
        <w:tc>
          <w:tcPr>
            <w:tcW w:w="525" w:type="dxa"/>
            <w:tcBorders>
              <w:top w:val="nil"/>
              <w:left w:val="nil"/>
              <w:bottom w:val="nil"/>
              <w:right w:val="nil"/>
            </w:tcBorders>
          </w:tcPr>
          <w:p w14:paraId="6EAEC3F8" w14:textId="77777777" w:rsidR="00B87ADA" w:rsidRPr="008A7DD9" w:rsidRDefault="00B87ADA"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41A10425" w14:textId="77777777" w:rsidR="00B87ADA" w:rsidRPr="008A7DD9" w:rsidRDefault="00B87ADA" w:rsidP="008C7D74">
            <w:pPr>
              <w:jc w:val="right"/>
              <w:rPr>
                <w:rFonts w:asciiTheme="minorHAnsi" w:hAnsiTheme="minorHAnsi" w:cstheme="minorHAnsi"/>
                <w:color w:val="000000"/>
                <w:sz w:val="20"/>
                <w:szCs w:val="20"/>
              </w:rPr>
            </w:pPr>
          </w:p>
        </w:tc>
      </w:tr>
      <w:tr w:rsidR="00C57D64" w:rsidRPr="008A7DD9" w14:paraId="14F06B25" w14:textId="3F02E9F7" w:rsidTr="00B87ADA">
        <w:trPr>
          <w:trHeight w:val="300"/>
        </w:trPr>
        <w:tc>
          <w:tcPr>
            <w:tcW w:w="2520" w:type="dxa"/>
            <w:tcBorders>
              <w:top w:val="nil"/>
              <w:left w:val="nil"/>
              <w:bottom w:val="nil"/>
              <w:right w:val="nil"/>
            </w:tcBorders>
            <w:shd w:val="clear" w:color="auto" w:fill="auto"/>
            <w:noWrap/>
            <w:vAlign w:val="center"/>
            <w:hideMark/>
          </w:tcPr>
          <w:p w14:paraId="38310F21" w14:textId="73A7F64B" w:rsidR="00C57D64" w:rsidRPr="008A7DD9" w:rsidRDefault="00C57D64"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Density</w:t>
            </w:r>
            <w:r>
              <w:rPr>
                <w:rFonts w:asciiTheme="minorHAnsi" w:hAnsiTheme="minorHAnsi" w:cstheme="minorHAnsi"/>
                <w:color w:val="000000"/>
                <w:sz w:val="20"/>
                <w:szCs w:val="20"/>
              </w:rPr>
              <w:t xml:space="preserve"> (log)</w:t>
            </w:r>
          </w:p>
        </w:tc>
        <w:tc>
          <w:tcPr>
            <w:tcW w:w="1220" w:type="dxa"/>
            <w:tcBorders>
              <w:top w:val="nil"/>
              <w:left w:val="nil"/>
              <w:bottom w:val="nil"/>
              <w:right w:val="nil"/>
            </w:tcBorders>
            <w:shd w:val="clear" w:color="auto" w:fill="auto"/>
            <w:noWrap/>
            <w:vAlign w:val="bottom"/>
            <w:hideMark/>
          </w:tcPr>
          <w:p w14:paraId="4D1E30E4" w14:textId="652F5867"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1</w:t>
            </w:r>
            <w:r w:rsidR="00525EA4">
              <w:rPr>
                <w:rFonts w:asciiTheme="minorHAnsi" w:hAnsiTheme="minorHAnsi" w:cstheme="minorHAnsi"/>
                <w:color w:val="000000"/>
                <w:sz w:val="20"/>
                <w:szCs w:val="20"/>
              </w:rPr>
              <w:t>91</w:t>
            </w:r>
            <w:r w:rsidRPr="008A7DD9">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1A4674BF" w14:textId="3E323D1D"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29</w:t>
            </w:r>
            <w:r w:rsidR="00525EA4">
              <w:rPr>
                <w:rFonts w:asciiTheme="minorHAnsi" w:hAnsiTheme="minorHAnsi" w:cstheme="minorHAnsi"/>
                <w:color w:val="000000"/>
                <w:sz w:val="20"/>
                <w:szCs w:val="20"/>
              </w:rPr>
              <w:t>7</w:t>
            </w:r>
            <w:r>
              <w:rPr>
                <w:rFonts w:asciiTheme="minorHAnsi" w:hAnsiTheme="minorHAnsi" w:cstheme="minorHAnsi"/>
                <w:color w:val="000000"/>
                <w:sz w:val="20"/>
                <w:szCs w:val="20"/>
              </w:rPr>
              <w:t>***</w:t>
            </w:r>
          </w:p>
        </w:tc>
        <w:tc>
          <w:tcPr>
            <w:tcW w:w="1290" w:type="dxa"/>
            <w:tcBorders>
              <w:top w:val="nil"/>
              <w:left w:val="nil"/>
              <w:bottom w:val="nil"/>
              <w:right w:val="nil"/>
            </w:tcBorders>
          </w:tcPr>
          <w:p w14:paraId="72D49305" w14:textId="6913B62A" w:rsidR="00C57D64" w:rsidRPr="008A7DD9"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0.299***</w:t>
            </w:r>
          </w:p>
        </w:tc>
        <w:tc>
          <w:tcPr>
            <w:tcW w:w="1350" w:type="dxa"/>
            <w:tcBorders>
              <w:top w:val="nil"/>
              <w:left w:val="nil"/>
              <w:bottom w:val="nil"/>
              <w:right w:val="nil"/>
            </w:tcBorders>
          </w:tcPr>
          <w:p w14:paraId="21563DA0" w14:textId="1AA85B5A" w:rsidR="00C57D64" w:rsidRPr="008A7DD9"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0.312***</w:t>
            </w:r>
          </w:p>
        </w:tc>
        <w:tc>
          <w:tcPr>
            <w:tcW w:w="525" w:type="dxa"/>
            <w:tcBorders>
              <w:top w:val="nil"/>
              <w:left w:val="nil"/>
              <w:bottom w:val="nil"/>
              <w:right w:val="nil"/>
            </w:tcBorders>
          </w:tcPr>
          <w:p w14:paraId="346B3695" w14:textId="77777777" w:rsidR="00C57D64" w:rsidRPr="008A7DD9"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6DD66C04" w14:textId="484905AA" w:rsidR="00C57D64" w:rsidRPr="008A7DD9" w:rsidRDefault="00C57D64" w:rsidP="008C7D74">
            <w:pPr>
              <w:jc w:val="right"/>
              <w:rPr>
                <w:rFonts w:asciiTheme="minorHAnsi" w:hAnsiTheme="minorHAnsi" w:cstheme="minorHAnsi"/>
                <w:color w:val="000000"/>
                <w:sz w:val="20"/>
                <w:szCs w:val="20"/>
              </w:rPr>
            </w:pPr>
          </w:p>
        </w:tc>
      </w:tr>
      <w:tr w:rsidR="00C57D64" w:rsidRPr="008A7DD9" w14:paraId="6ECC746D" w14:textId="55FACAA4" w:rsidTr="00B87ADA">
        <w:trPr>
          <w:trHeight w:val="300"/>
        </w:trPr>
        <w:tc>
          <w:tcPr>
            <w:tcW w:w="2520" w:type="dxa"/>
            <w:tcBorders>
              <w:top w:val="nil"/>
              <w:left w:val="nil"/>
              <w:bottom w:val="nil"/>
              <w:right w:val="nil"/>
            </w:tcBorders>
            <w:shd w:val="clear" w:color="auto" w:fill="auto"/>
            <w:noWrap/>
            <w:vAlign w:val="bottom"/>
            <w:hideMark/>
          </w:tcPr>
          <w:p w14:paraId="664B32AC" w14:textId="77777777" w:rsidR="00C57D64" w:rsidRPr="008A7DD9" w:rsidRDefault="00C57D64"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6DE3CE38" w14:textId="720A83B1"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w:t>
            </w:r>
            <w:r>
              <w:rPr>
                <w:rFonts w:asciiTheme="minorHAnsi" w:hAnsiTheme="minorHAnsi" w:cstheme="minorHAnsi"/>
                <w:color w:val="000000"/>
                <w:sz w:val="20"/>
                <w:szCs w:val="20"/>
              </w:rPr>
              <w:t>2</w:t>
            </w:r>
            <w:r w:rsidR="00525EA4">
              <w:rPr>
                <w:rFonts w:asciiTheme="minorHAnsi" w:hAnsiTheme="minorHAnsi" w:cstheme="minorHAnsi"/>
                <w:color w:val="000000"/>
                <w:sz w:val="20"/>
                <w:szCs w:val="20"/>
              </w:rPr>
              <w:t>93</w:t>
            </w:r>
            <w:r w:rsidRPr="008A7DD9">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576B1D19" w14:textId="285F554F" w:rsidR="00C57D64" w:rsidRPr="008A7DD9" w:rsidRDefault="00C57D64" w:rsidP="008C7D7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w:t>
            </w:r>
            <w:r>
              <w:rPr>
                <w:rFonts w:asciiTheme="minorHAnsi" w:hAnsiTheme="minorHAnsi" w:cstheme="minorHAnsi"/>
                <w:color w:val="000000"/>
                <w:sz w:val="20"/>
                <w:szCs w:val="20"/>
              </w:rPr>
              <w:t>37</w:t>
            </w:r>
            <w:r w:rsidR="00525EA4">
              <w:rPr>
                <w:rFonts w:asciiTheme="minorHAnsi" w:hAnsiTheme="minorHAnsi" w:cstheme="minorHAnsi"/>
                <w:color w:val="000000"/>
                <w:sz w:val="20"/>
                <w:szCs w:val="20"/>
              </w:rPr>
              <w:t>4</w:t>
            </w:r>
            <w:r w:rsidRPr="008A7DD9">
              <w:rPr>
                <w:rFonts w:asciiTheme="minorHAnsi" w:hAnsiTheme="minorHAnsi" w:cstheme="minorHAnsi"/>
                <w:color w:val="000000"/>
                <w:sz w:val="20"/>
                <w:szCs w:val="20"/>
              </w:rPr>
              <w:t>)</w:t>
            </w:r>
          </w:p>
        </w:tc>
        <w:tc>
          <w:tcPr>
            <w:tcW w:w="1290" w:type="dxa"/>
            <w:tcBorders>
              <w:top w:val="nil"/>
              <w:left w:val="nil"/>
              <w:bottom w:val="nil"/>
              <w:right w:val="nil"/>
            </w:tcBorders>
          </w:tcPr>
          <w:p w14:paraId="3FA1A07F" w14:textId="01522173" w:rsidR="00C57D64" w:rsidRPr="008A7DD9"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(0.0267)</w:t>
            </w:r>
          </w:p>
        </w:tc>
        <w:tc>
          <w:tcPr>
            <w:tcW w:w="1350" w:type="dxa"/>
            <w:tcBorders>
              <w:top w:val="nil"/>
              <w:left w:val="nil"/>
              <w:bottom w:val="nil"/>
              <w:right w:val="nil"/>
            </w:tcBorders>
          </w:tcPr>
          <w:p w14:paraId="45F76BB1" w14:textId="02B8CE2A" w:rsidR="00C57D64" w:rsidRPr="008A7DD9"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(0.0372)</w:t>
            </w:r>
          </w:p>
        </w:tc>
        <w:tc>
          <w:tcPr>
            <w:tcW w:w="525" w:type="dxa"/>
            <w:tcBorders>
              <w:top w:val="nil"/>
              <w:left w:val="nil"/>
              <w:bottom w:val="nil"/>
              <w:right w:val="nil"/>
            </w:tcBorders>
          </w:tcPr>
          <w:p w14:paraId="452383C3" w14:textId="77777777" w:rsidR="00C57D64" w:rsidRPr="008A7DD9"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113CD2B8" w14:textId="1019B438" w:rsidR="00C57D64" w:rsidRPr="008A7DD9" w:rsidRDefault="00C57D64" w:rsidP="008C7D74">
            <w:pPr>
              <w:jc w:val="right"/>
              <w:rPr>
                <w:rFonts w:asciiTheme="minorHAnsi" w:hAnsiTheme="minorHAnsi" w:cstheme="minorHAnsi"/>
                <w:color w:val="000000"/>
                <w:sz w:val="20"/>
                <w:szCs w:val="20"/>
              </w:rPr>
            </w:pPr>
          </w:p>
        </w:tc>
      </w:tr>
      <w:tr w:rsidR="00C57D64" w:rsidRPr="008A7DD9" w14:paraId="4590CFAA" w14:textId="656C87DA" w:rsidTr="00B87ADA">
        <w:trPr>
          <w:trHeight w:val="300"/>
        </w:trPr>
        <w:tc>
          <w:tcPr>
            <w:tcW w:w="2520" w:type="dxa"/>
            <w:tcBorders>
              <w:top w:val="nil"/>
              <w:left w:val="nil"/>
              <w:bottom w:val="nil"/>
              <w:right w:val="nil"/>
            </w:tcBorders>
            <w:shd w:val="clear" w:color="auto" w:fill="auto"/>
            <w:noWrap/>
            <w:vAlign w:val="center"/>
            <w:hideMark/>
          </w:tcPr>
          <w:p w14:paraId="349B6F63" w14:textId="407A5437" w:rsidR="00C57D64" w:rsidRPr="008A7DD9" w:rsidRDefault="00C57D64"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Income</w:t>
            </w:r>
            <w:r>
              <w:rPr>
                <w:rFonts w:asciiTheme="minorHAnsi" w:hAnsiTheme="minorHAnsi" w:cstheme="minorHAnsi"/>
                <w:color w:val="000000"/>
                <w:sz w:val="20"/>
                <w:szCs w:val="20"/>
              </w:rPr>
              <w:t>/pop (log)</w:t>
            </w:r>
          </w:p>
        </w:tc>
        <w:tc>
          <w:tcPr>
            <w:tcW w:w="1220" w:type="dxa"/>
            <w:tcBorders>
              <w:top w:val="nil"/>
              <w:left w:val="nil"/>
              <w:bottom w:val="nil"/>
              <w:right w:val="nil"/>
            </w:tcBorders>
            <w:shd w:val="clear" w:color="auto" w:fill="auto"/>
            <w:noWrap/>
            <w:vAlign w:val="bottom"/>
            <w:hideMark/>
          </w:tcPr>
          <w:p w14:paraId="4A0CF11F" w14:textId="28444D8D" w:rsidR="00C57D64" w:rsidRPr="008A7DD9" w:rsidRDefault="00C57D6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-.1</w:t>
            </w:r>
            <w:r w:rsidR="00525EA4">
              <w:rPr>
                <w:rFonts w:asciiTheme="minorHAnsi" w:hAnsiTheme="minorHAnsi" w:cstheme="minorHAnsi"/>
                <w:color w:val="000000"/>
                <w:sz w:val="20"/>
                <w:szCs w:val="20"/>
              </w:rPr>
              <w:t>305</w:t>
            </w:r>
          </w:p>
        </w:tc>
        <w:tc>
          <w:tcPr>
            <w:tcW w:w="1540" w:type="dxa"/>
            <w:tcBorders>
              <w:top w:val="nil"/>
              <w:left w:val="nil"/>
              <w:bottom w:val="nil"/>
              <w:right w:val="nil"/>
            </w:tcBorders>
            <w:shd w:val="clear" w:color="auto" w:fill="auto"/>
            <w:noWrap/>
            <w:vAlign w:val="bottom"/>
            <w:hideMark/>
          </w:tcPr>
          <w:p w14:paraId="6D8B0907" w14:textId="770D632E" w:rsidR="00C57D64" w:rsidRPr="008A7DD9" w:rsidRDefault="00C57D6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w:t>
            </w: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4</w:t>
            </w:r>
            <w:r w:rsidR="00525EA4">
              <w:rPr>
                <w:rFonts w:asciiTheme="minorHAnsi" w:hAnsiTheme="minorHAnsi" w:cstheme="minorHAnsi"/>
                <w:color w:val="000000"/>
                <w:sz w:val="20"/>
                <w:szCs w:val="20"/>
              </w:rPr>
              <w:t>38</w:t>
            </w:r>
            <w:r w:rsidRPr="008A7DD9">
              <w:rPr>
                <w:rFonts w:asciiTheme="minorHAnsi" w:hAnsiTheme="minorHAnsi" w:cstheme="minorHAnsi"/>
                <w:color w:val="000000"/>
                <w:sz w:val="20"/>
                <w:szCs w:val="20"/>
              </w:rPr>
              <w:t>***</w:t>
            </w:r>
          </w:p>
        </w:tc>
        <w:tc>
          <w:tcPr>
            <w:tcW w:w="1290" w:type="dxa"/>
            <w:tcBorders>
              <w:top w:val="nil"/>
              <w:left w:val="nil"/>
              <w:bottom w:val="nil"/>
              <w:right w:val="nil"/>
            </w:tcBorders>
          </w:tcPr>
          <w:p w14:paraId="5C083069" w14:textId="368CF382" w:rsidR="00C57D64"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-0.252***</w:t>
            </w:r>
          </w:p>
        </w:tc>
        <w:tc>
          <w:tcPr>
            <w:tcW w:w="1350" w:type="dxa"/>
            <w:tcBorders>
              <w:top w:val="nil"/>
              <w:left w:val="nil"/>
              <w:bottom w:val="nil"/>
              <w:right w:val="nil"/>
            </w:tcBorders>
          </w:tcPr>
          <w:p w14:paraId="3F8BB21F" w14:textId="7A6473E8" w:rsidR="00C57D64"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-0.583***</w:t>
            </w:r>
          </w:p>
        </w:tc>
        <w:tc>
          <w:tcPr>
            <w:tcW w:w="525" w:type="dxa"/>
            <w:tcBorders>
              <w:top w:val="nil"/>
              <w:left w:val="nil"/>
              <w:bottom w:val="nil"/>
              <w:right w:val="nil"/>
            </w:tcBorders>
          </w:tcPr>
          <w:p w14:paraId="75F0A72A" w14:textId="77777777" w:rsidR="00C57D64"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0FA49A14" w14:textId="7E82AB40" w:rsidR="00C57D64" w:rsidRDefault="00C57D64" w:rsidP="008C7D74">
            <w:pPr>
              <w:jc w:val="right"/>
              <w:rPr>
                <w:rFonts w:asciiTheme="minorHAnsi" w:hAnsiTheme="minorHAnsi" w:cstheme="minorHAnsi"/>
                <w:color w:val="000000"/>
                <w:sz w:val="20"/>
                <w:szCs w:val="20"/>
              </w:rPr>
            </w:pPr>
          </w:p>
        </w:tc>
      </w:tr>
      <w:tr w:rsidR="00C57D64" w:rsidRPr="008A7DD9" w14:paraId="29AC9ACE" w14:textId="38B7A99D" w:rsidTr="00B87ADA">
        <w:trPr>
          <w:trHeight w:val="300"/>
        </w:trPr>
        <w:tc>
          <w:tcPr>
            <w:tcW w:w="2520" w:type="dxa"/>
            <w:tcBorders>
              <w:top w:val="nil"/>
              <w:left w:val="nil"/>
              <w:bottom w:val="nil"/>
              <w:right w:val="nil"/>
            </w:tcBorders>
            <w:shd w:val="clear" w:color="auto" w:fill="auto"/>
            <w:noWrap/>
            <w:vAlign w:val="bottom"/>
            <w:hideMark/>
          </w:tcPr>
          <w:p w14:paraId="5F7B91AF" w14:textId="77777777" w:rsidR="00C57D64" w:rsidRPr="008A7DD9" w:rsidRDefault="00C57D64"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2290DA1E" w14:textId="3A710BFA"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1</w:t>
            </w:r>
            <w:r w:rsidR="00525EA4">
              <w:rPr>
                <w:rFonts w:asciiTheme="minorHAnsi" w:hAnsiTheme="minorHAnsi" w:cstheme="minorHAnsi"/>
                <w:color w:val="000000"/>
                <w:sz w:val="20"/>
                <w:szCs w:val="20"/>
              </w:rPr>
              <w:t>214</w:t>
            </w:r>
            <w:r w:rsidRPr="008A7DD9">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2A0C67D3" w14:textId="02CF9040"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Pr>
                <w:rFonts w:asciiTheme="minorHAnsi" w:hAnsiTheme="minorHAnsi" w:cstheme="minorHAnsi"/>
                <w:color w:val="000000"/>
                <w:sz w:val="20"/>
                <w:szCs w:val="20"/>
              </w:rPr>
              <w:t>1</w:t>
            </w:r>
            <w:r w:rsidR="00525EA4">
              <w:rPr>
                <w:rFonts w:asciiTheme="minorHAnsi" w:hAnsiTheme="minorHAnsi" w:cstheme="minorHAnsi"/>
                <w:color w:val="000000"/>
                <w:sz w:val="20"/>
                <w:szCs w:val="20"/>
              </w:rPr>
              <w:t>469</w:t>
            </w:r>
            <w:r w:rsidRPr="008A7DD9">
              <w:rPr>
                <w:rFonts w:asciiTheme="minorHAnsi" w:hAnsiTheme="minorHAnsi" w:cstheme="minorHAnsi"/>
                <w:color w:val="000000"/>
                <w:sz w:val="20"/>
                <w:szCs w:val="20"/>
              </w:rPr>
              <w:t>)</w:t>
            </w:r>
          </w:p>
        </w:tc>
        <w:tc>
          <w:tcPr>
            <w:tcW w:w="1290" w:type="dxa"/>
            <w:tcBorders>
              <w:top w:val="nil"/>
              <w:left w:val="nil"/>
              <w:bottom w:val="nil"/>
              <w:right w:val="nil"/>
            </w:tcBorders>
          </w:tcPr>
          <w:p w14:paraId="5350A688" w14:textId="386B2CE2" w:rsidR="00C57D64" w:rsidRPr="008A7DD9"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0.117***</w:t>
            </w:r>
          </w:p>
        </w:tc>
        <w:tc>
          <w:tcPr>
            <w:tcW w:w="1350" w:type="dxa"/>
            <w:tcBorders>
              <w:top w:val="nil"/>
              <w:left w:val="nil"/>
              <w:bottom w:val="nil"/>
              <w:right w:val="nil"/>
            </w:tcBorders>
          </w:tcPr>
          <w:p w14:paraId="5C5C1344" w14:textId="61FDF81A" w:rsidR="00C57D64" w:rsidRPr="008A7DD9"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(0.1482)</w:t>
            </w:r>
          </w:p>
        </w:tc>
        <w:tc>
          <w:tcPr>
            <w:tcW w:w="525" w:type="dxa"/>
            <w:tcBorders>
              <w:top w:val="nil"/>
              <w:left w:val="nil"/>
              <w:bottom w:val="nil"/>
              <w:right w:val="nil"/>
            </w:tcBorders>
          </w:tcPr>
          <w:p w14:paraId="2AF9F034" w14:textId="77777777" w:rsidR="00C57D64" w:rsidRPr="008A7DD9"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78F2B649" w14:textId="2C49EC45" w:rsidR="00C57D64" w:rsidRPr="008A7DD9" w:rsidRDefault="00C57D64" w:rsidP="008C7D74">
            <w:pPr>
              <w:jc w:val="right"/>
              <w:rPr>
                <w:rFonts w:asciiTheme="minorHAnsi" w:hAnsiTheme="minorHAnsi" w:cstheme="minorHAnsi"/>
                <w:color w:val="000000"/>
                <w:sz w:val="20"/>
                <w:szCs w:val="20"/>
              </w:rPr>
            </w:pPr>
          </w:p>
        </w:tc>
      </w:tr>
      <w:tr w:rsidR="00C57D64" w:rsidRPr="008A7DD9" w14:paraId="7D8AFC96" w14:textId="12480EF3" w:rsidTr="00B87ADA">
        <w:trPr>
          <w:trHeight w:val="300"/>
        </w:trPr>
        <w:tc>
          <w:tcPr>
            <w:tcW w:w="2520" w:type="dxa"/>
            <w:tcBorders>
              <w:top w:val="nil"/>
              <w:left w:val="nil"/>
              <w:bottom w:val="nil"/>
              <w:right w:val="nil"/>
            </w:tcBorders>
            <w:shd w:val="clear" w:color="auto" w:fill="auto"/>
            <w:noWrap/>
            <w:vAlign w:val="center"/>
            <w:hideMark/>
          </w:tcPr>
          <w:p w14:paraId="5DBB940C" w14:textId="7E2DF509" w:rsidR="00C57D64" w:rsidRPr="008A7DD9" w:rsidRDefault="00C57D64" w:rsidP="00883148">
            <w:pPr>
              <w:rPr>
                <w:rFonts w:asciiTheme="minorHAnsi" w:hAnsiTheme="minorHAnsi" w:cstheme="minorHAnsi"/>
                <w:color w:val="000000"/>
                <w:sz w:val="20"/>
                <w:szCs w:val="20"/>
              </w:rPr>
            </w:pPr>
            <w:r>
              <w:rPr>
                <w:rFonts w:asciiTheme="minorHAnsi" w:hAnsiTheme="minorHAnsi" w:cstheme="minorHAnsi"/>
                <w:color w:val="000000"/>
                <w:sz w:val="20"/>
                <w:szCs w:val="20"/>
              </w:rPr>
              <w:t>% Land Use (log)</w:t>
            </w:r>
          </w:p>
        </w:tc>
        <w:tc>
          <w:tcPr>
            <w:tcW w:w="1220" w:type="dxa"/>
            <w:tcBorders>
              <w:top w:val="nil"/>
              <w:left w:val="nil"/>
              <w:bottom w:val="nil"/>
              <w:right w:val="nil"/>
            </w:tcBorders>
            <w:shd w:val="clear" w:color="auto" w:fill="auto"/>
            <w:noWrap/>
            <w:vAlign w:val="bottom"/>
            <w:hideMark/>
          </w:tcPr>
          <w:p w14:paraId="002B6795" w14:textId="2D147163" w:rsidR="00C57D64" w:rsidRPr="008A7DD9" w:rsidRDefault="00525EA4" w:rsidP="00525EA4">
            <w:pPr>
              <w:jc w:val="right"/>
              <w:rPr>
                <w:rFonts w:asciiTheme="minorHAnsi" w:hAnsiTheme="minorHAnsi" w:cstheme="minorHAnsi"/>
                <w:color w:val="000000"/>
                <w:sz w:val="20"/>
                <w:szCs w:val="20"/>
              </w:rPr>
            </w:pPr>
            <w:r>
              <w:rPr>
                <w:rFonts w:asciiTheme="minorHAnsi" w:hAnsiTheme="minorHAnsi" w:cstheme="minorHAnsi"/>
                <w:color w:val="000000"/>
                <w:sz w:val="20"/>
                <w:szCs w:val="20"/>
              </w:rPr>
              <w:t>0</w:t>
            </w:r>
            <w:r w:rsidR="00C57D64" w:rsidRPr="008A7DD9">
              <w:rPr>
                <w:rFonts w:asciiTheme="minorHAnsi" w:hAnsiTheme="minorHAnsi" w:cstheme="minorHAnsi"/>
                <w:color w:val="000000"/>
                <w:sz w:val="20"/>
                <w:szCs w:val="20"/>
              </w:rPr>
              <w:t>.</w:t>
            </w:r>
            <w:r>
              <w:rPr>
                <w:rFonts w:asciiTheme="minorHAnsi" w:hAnsiTheme="minorHAnsi" w:cstheme="minorHAnsi"/>
                <w:color w:val="000000"/>
                <w:sz w:val="20"/>
                <w:szCs w:val="20"/>
              </w:rPr>
              <w:t>112</w:t>
            </w:r>
            <w:r w:rsidR="00C57D64" w:rsidRPr="008A7DD9">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1C315CBA" w14:textId="7E3B5B72" w:rsidR="00C57D64" w:rsidRPr="008A7DD9" w:rsidRDefault="00C57D64" w:rsidP="00525EA4">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w:t>
            </w:r>
            <w:r w:rsidR="00525EA4">
              <w:rPr>
                <w:rFonts w:asciiTheme="minorHAnsi" w:hAnsiTheme="minorHAnsi" w:cstheme="minorHAnsi"/>
                <w:color w:val="000000"/>
                <w:sz w:val="20"/>
                <w:szCs w:val="20"/>
              </w:rPr>
              <w:t>1020</w:t>
            </w:r>
            <w:r w:rsidRPr="008A7DD9">
              <w:rPr>
                <w:rFonts w:asciiTheme="minorHAnsi" w:hAnsiTheme="minorHAnsi" w:cstheme="minorHAnsi"/>
                <w:color w:val="000000"/>
                <w:sz w:val="20"/>
                <w:szCs w:val="20"/>
              </w:rPr>
              <w:t>**</w:t>
            </w:r>
          </w:p>
        </w:tc>
        <w:tc>
          <w:tcPr>
            <w:tcW w:w="1290" w:type="dxa"/>
            <w:tcBorders>
              <w:top w:val="nil"/>
              <w:left w:val="nil"/>
              <w:bottom w:val="nil"/>
              <w:right w:val="nil"/>
            </w:tcBorders>
          </w:tcPr>
          <w:p w14:paraId="37A4FB33" w14:textId="2341F74C" w:rsidR="00C57D64"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0.201***</w:t>
            </w:r>
          </w:p>
        </w:tc>
        <w:tc>
          <w:tcPr>
            <w:tcW w:w="1350" w:type="dxa"/>
            <w:tcBorders>
              <w:top w:val="nil"/>
              <w:left w:val="nil"/>
              <w:bottom w:val="nil"/>
              <w:right w:val="nil"/>
            </w:tcBorders>
          </w:tcPr>
          <w:p w14:paraId="0A9024B0" w14:textId="5E3718BA" w:rsidR="00C57D64"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0.2405***</w:t>
            </w:r>
          </w:p>
        </w:tc>
        <w:tc>
          <w:tcPr>
            <w:tcW w:w="525" w:type="dxa"/>
            <w:tcBorders>
              <w:top w:val="nil"/>
              <w:left w:val="nil"/>
              <w:bottom w:val="nil"/>
              <w:right w:val="nil"/>
            </w:tcBorders>
          </w:tcPr>
          <w:p w14:paraId="55290A38" w14:textId="77777777" w:rsidR="00C57D64"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717240A3" w14:textId="5180CC43" w:rsidR="00C57D64" w:rsidRDefault="00C57D64" w:rsidP="008C7D74">
            <w:pPr>
              <w:jc w:val="right"/>
              <w:rPr>
                <w:rFonts w:asciiTheme="minorHAnsi" w:hAnsiTheme="minorHAnsi" w:cstheme="minorHAnsi"/>
                <w:color w:val="000000"/>
                <w:sz w:val="20"/>
                <w:szCs w:val="20"/>
              </w:rPr>
            </w:pPr>
          </w:p>
        </w:tc>
      </w:tr>
      <w:tr w:rsidR="00C57D64" w:rsidRPr="008A7DD9" w14:paraId="7A7273EC" w14:textId="4726AE8A" w:rsidTr="00B87ADA">
        <w:trPr>
          <w:trHeight w:val="300"/>
        </w:trPr>
        <w:tc>
          <w:tcPr>
            <w:tcW w:w="2520" w:type="dxa"/>
            <w:tcBorders>
              <w:top w:val="nil"/>
              <w:left w:val="nil"/>
              <w:bottom w:val="nil"/>
              <w:right w:val="nil"/>
            </w:tcBorders>
            <w:shd w:val="clear" w:color="auto" w:fill="auto"/>
            <w:noWrap/>
            <w:vAlign w:val="bottom"/>
            <w:hideMark/>
          </w:tcPr>
          <w:p w14:paraId="5808FF80" w14:textId="77777777" w:rsidR="00C57D64" w:rsidRPr="008A7DD9" w:rsidRDefault="00C57D64"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6C3EB8D3" w14:textId="2320D444" w:rsidR="00C57D64" w:rsidRPr="008A7DD9" w:rsidRDefault="00C57D64" w:rsidP="00283F80">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sidR="00283F80">
              <w:rPr>
                <w:rFonts w:asciiTheme="minorHAnsi" w:hAnsiTheme="minorHAnsi" w:cstheme="minorHAnsi"/>
                <w:color w:val="000000"/>
                <w:sz w:val="20"/>
                <w:szCs w:val="20"/>
              </w:rPr>
              <w:t>0</w:t>
            </w:r>
            <w:r w:rsidR="00525EA4">
              <w:rPr>
                <w:rFonts w:asciiTheme="minorHAnsi" w:hAnsiTheme="minorHAnsi" w:cstheme="minorHAnsi"/>
                <w:color w:val="000000"/>
                <w:sz w:val="20"/>
                <w:szCs w:val="20"/>
              </w:rPr>
              <w:t>52</w:t>
            </w:r>
            <w:r w:rsidRPr="008A7DD9">
              <w:rPr>
                <w:rFonts w:asciiTheme="minorHAnsi" w:hAnsiTheme="minorHAnsi" w:cstheme="minorHAnsi"/>
                <w:color w:val="000000"/>
                <w:sz w:val="20"/>
                <w:szCs w:val="20"/>
              </w:rPr>
              <w:t>)</w:t>
            </w:r>
          </w:p>
        </w:tc>
        <w:tc>
          <w:tcPr>
            <w:tcW w:w="1540" w:type="dxa"/>
            <w:tcBorders>
              <w:top w:val="nil"/>
              <w:left w:val="nil"/>
              <w:bottom w:val="nil"/>
              <w:right w:val="nil"/>
            </w:tcBorders>
            <w:shd w:val="clear" w:color="auto" w:fill="auto"/>
            <w:noWrap/>
            <w:vAlign w:val="bottom"/>
            <w:hideMark/>
          </w:tcPr>
          <w:p w14:paraId="3D456300" w14:textId="4696D2C6" w:rsidR="00C57D64" w:rsidRPr="008A7DD9" w:rsidRDefault="00C57D64" w:rsidP="00283F80">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w:t>
            </w:r>
            <w:r w:rsidR="00283F80">
              <w:rPr>
                <w:rFonts w:asciiTheme="minorHAnsi" w:hAnsiTheme="minorHAnsi" w:cstheme="minorHAnsi"/>
                <w:color w:val="000000"/>
                <w:sz w:val="20"/>
                <w:szCs w:val="20"/>
              </w:rPr>
              <w:t>0</w:t>
            </w:r>
            <w:r>
              <w:rPr>
                <w:rFonts w:asciiTheme="minorHAnsi" w:hAnsiTheme="minorHAnsi" w:cstheme="minorHAnsi"/>
                <w:color w:val="000000"/>
                <w:sz w:val="20"/>
                <w:szCs w:val="20"/>
              </w:rPr>
              <w:t>5</w:t>
            </w:r>
            <w:r w:rsidR="00525EA4">
              <w:rPr>
                <w:rFonts w:asciiTheme="minorHAnsi" w:hAnsiTheme="minorHAnsi" w:cstheme="minorHAnsi"/>
                <w:color w:val="000000"/>
                <w:sz w:val="20"/>
                <w:szCs w:val="20"/>
              </w:rPr>
              <w:t>6</w:t>
            </w:r>
            <w:r w:rsidRPr="008A7DD9">
              <w:rPr>
                <w:rFonts w:asciiTheme="minorHAnsi" w:hAnsiTheme="minorHAnsi" w:cstheme="minorHAnsi"/>
                <w:color w:val="000000"/>
                <w:sz w:val="20"/>
                <w:szCs w:val="20"/>
              </w:rPr>
              <w:t>)</w:t>
            </w:r>
          </w:p>
        </w:tc>
        <w:tc>
          <w:tcPr>
            <w:tcW w:w="1290" w:type="dxa"/>
            <w:tcBorders>
              <w:top w:val="nil"/>
              <w:left w:val="nil"/>
              <w:bottom w:val="nil"/>
              <w:right w:val="nil"/>
            </w:tcBorders>
          </w:tcPr>
          <w:p w14:paraId="3FEA9761" w14:textId="3522FC39" w:rsidR="00C57D64" w:rsidRPr="008A7DD9" w:rsidRDefault="00C57D64"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(0.047)</w:t>
            </w:r>
          </w:p>
        </w:tc>
        <w:tc>
          <w:tcPr>
            <w:tcW w:w="1350" w:type="dxa"/>
            <w:tcBorders>
              <w:top w:val="nil"/>
              <w:left w:val="nil"/>
              <w:bottom w:val="nil"/>
              <w:right w:val="nil"/>
            </w:tcBorders>
          </w:tcPr>
          <w:p w14:paraId="56A1A206" w14:textId="3F59B989" w:rsidR="00C57D64" w:rsidRPr="008A7DD9" w:rsidRDefault="00B87ADA" w:rsidP="008C7D74">
            <w:pPr>
              <w:jc w:val="right"/>
              <w:rPr>
                <w:rFonts w:asciiTheme="minorHAnsi" w:hAnsiTheme="minorHAnsi" w:cstheme="minorHAnsi"/>
                <w:color w:val="000000"/>
                <w:sz w:val="20"/>
                <w:szCs w:val="20"/>
              </w:rPr>
            </w:pPr>
            <w:r>
              <w:rPr>
                <w:rFonts w:asciiTheme="minorHAnsi" w:hAnsiTheme="minorHAnsi" w:cstheme="minorHAnsi"/>
                <w:color w:val="000000"/>
                <w:sz w:val="20"/>
                <w:szCs w:val="20"/>
              </w:rPr>
              <w:t>(0.0557)</w:t>
            </w:r>
          </w:p>
        </w:tc>
        <w:tc>
          <w:tcPr>
            <w:tcW w:w="525" w:type="dxa"/>
            <w:tcBorders>
              <w:top w:val="nil"/>
              <w:left w:val="nil"/>
              <w:bottom w:val="nil"/>
              <w:right w:val="nil"/>
            </w:tcBorders>
          </w:tcPr>
          <w:p w14:paraId="39551457" w14:textId="77777777" w:rsidR="00C57D64" w:rsidRPr="008A7DD9" w:rsidRDefault="00C57D64" w:rsidP="008C7D74">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3202D1C1" w14:textId="2279E50E" w:rsidR="00C57D64" w:rsidRPr="008A7DD9" w:rsidRDefault="00C57D64" w:rsidP="008C7D74">
            <w:pPr>
              <w:jc w:val="right"/>
              <w:rPr>
                <w:rFonts w:asciiTheme="minorHAnsi" w:hAnsiTheme="minorHAnsi" w:cstheme="minorHAnsi"/>
                <w:color w:val="000000"/>
                <w:sz w:val="20"/>
                <w:szCs w:val="20"/>
              </w:rPr>
            </w:pPr>
          </w:p>
        </w:tc>
      </w:tr>
      <w:tr w:rsidR="00C57D64" w:rsidRPr="008A7DD9" w14:paraId="1FAC0DB6" w14:textId="3135A8FD" w:rsidTr="00B87ADA">
        <w:trPr>
          <w:trHeight w:val="300"/>
        </w:trPr>
        <w:tc>
          <w:tcPr>
            <w:tcW w:w="2520" w:type="dxa"/>
            <w:tcBorders>
              <w:top w:val="nil"/>
              <w:left w:val="nil"/>
              <w:bottom w:val="nil"/>
              <w:right w:val="nil"/>
            </w:tcBorders>
            <w:shd w:val="clear" w:color="auto" w:fill="auto"/>
            <w:noWrap/>
            <w:vAlign w:val="center"/>
            <w:hideMark/>
          </w:tcPr>
          <w:p w14:paraId="198381C4" w14:textId="77777777" w:rsidR="00C57D64" w:rsidRPr="008A7DD9" w:rsidRDefault="00C57D64"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Number of Observations</w:t>
            </w:r>
          </w:p>
        </w:tc>
        <w:tc>
          <w:tcPr>
            <w:tcW w:w="1220" w:type="dxa"/>
            <w:tcBorders>
              <w:top w:val="nil"/>
              <w:left w:val="nil"/>
              <w:bottom w:val="nil"/>
              <w:right w:val="nil"/>
            </w:tcBorders>
            <w:shd w:val="clear" w:color="auto" w:fill="auto"/>
            <w:noWrap/>
            <w:vAlign w:val="bottom"/>
            <w:hideMark/>
          </w:tcPr>
          <w:p w14:paraId="6515E9FB" w14:textId="18729DE9" w:rsidR="00C57D64" w:rsidRPr="008A7DD9" w:rsidRDefault="00C57D64"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269</w:t>
            </w:r>
          </w:p>
        </w:tc>
        <w:tc>
          <w:tcPr>
            <w:tcW w:w="1540" w:type="dxa"/>
            <w:tcBorders>
              <w:top w:val="nil"/>
              <w:left w:val="nil"/>
              <w:bottom w:val="nil"/>
              <w:right w:val="nil"/>
            </w:tcBorders>
            <w:shd w:val="clear" w:color="auto" w:fill="auto"/>
            <w:noWrap/>
            <w:vAlign w:val="bottom"/>
            <w:hideMark/>
          </w:tcPr>
          <w:p w14:paraId="14BE41B7" w14:textId="52681999" w:rsidR="00C57D64" w:rsidRPr="008A7DD9" w:rsidRDefault="00C57D64"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138</w:t>
            </w:r>
          </w:p>
        </w:tc>
        <w:tc>
          <w:tcPr>
            <w:tcW w:w="1290" w:type="dxa"/>
            <w:tcBorders>
              <w:top w:val="nil"/>
              <w:left w:val="nil"/>
              <w:bottom w:val="nil"/>
              <w:right w:val="nil"/>
            </w:tcBorders>
          </w:tcPr>
          <w:p w14:paraId="0F37ED3E" w14:textId="058113DA" w:rsidR="00C57D64" w:rsidRDefault="009D3188"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294</w:t>
            </w:r>
          </w:p>
        </w:tc>
        <w:tc>
          <w:tcPr>
            <w:tcW w:w="1350" w:type="dxa"/>
            <w:tcBorders>
              <w:top w:val="nil"/>
              <w:left w:val="nil"/>
              <w:bottom w:val="nil"/>
              <w:right w:val="nil"/>
            </w:tcBorders>
          </w:tcPr>
          <w:p w14:paraId="3313EC36" w14:textId="2F82DEAF" w:rsidR="00C57D64" w:rsidRDefault="009D3188" w:rsidP="00B67AC8">
            <w:pPr>
              <w:jc w:val="right"/>
              <w:rPr>
                <w:rFonts w:asciiTheme="minorHAnsi" w:hAnsiTheme="minorHAnsi" w:cstheme="minorHAnsi"/>
                <w:color w:val="000000"/>
                <w:sz w:val="20"/>
                <w:szCs w:val="20"/>
              </w:rPr>
            </w:pPr>
            <w:r>
              <w:rPr>
                <w:rFonts w:asciiTheme="minorHAnsi" w:hAnsiTheme="minorHAnsi" w:cstheme="minorHAnsi"/>
                <w:color w:val="000000"/>
                <w:sz w:val="20"/>
                <w:szCs w:val="20"/>
              </w:rPr>
              <w:t>138</w:t>
            </w:r>
          </w:p>
        </w:tc>
        <w:tc>
          <w:tcPr>
            <w:tcW w:w="525" w:type="dxa"/>
            <w:tcBorders>
              <w:top w:val="nil"/>
              <w:left w:val="nil"/>
              <w:bottom w:val="nil"/>
              <w:right w:val="nil"/>
            </w:tcBorders>
          </w:tcPr>
          <w:p w14:paraId="0AD0B1B4" w14:textId="77777777" w:rsidR="00C57D64" w:rsidRDefault="00C57D64" w:rsidP="00B67AC8">
            <w:pPr>
              <w:jc w:val="right"/>
              <w:rPr>
                <w:rFonts w:asciiTheme="minorHAnsi" w:hAnsiTheme="minorHAnsi" w:cstheme="minorHAnsi"/>
                <w:color w:val="000000"/>
                <w:sz w:val="20"/>
                <w:szCs w:val="20"/>
              </w:rPr>
            </w:pPr>
          </w:p>
        </w:tc>
        <w:tc>
          <w:tcPr>
            <w:tcW w:w="915" w:type="dxa"/>
            <w:tcBorders>
              <w:top w:val="nil"/>
              <w:left w:val="nil"/>
              <w:bottom w:val="nil"/>
              <w:right w:val="nil"/>
            </w:tcBorders>
          </w:tcPr>
          <w:p w14:paraId="72A0BD83" w14:textId="0FFA27AC" w:rsidR="00C57D64" w:rsidRDefault="00C57D64" w:rsidP="00B67AC8">
            <w:pPr>
              <w:jc w:val="right"/>
              <w:rPr>
                <w:rFonts w:asciiTheme="minorHAnsi" w:hAnsiTheme="minorHAnsi" w:cstheme="minorHAnsi"/>
                <w:color w:val="000000"/>
                <w:sz w:val="20"/>
                <w:szCs w:val="20"/>
              </w:rPr>
            </w:pPr>
          </w:p>
        </w:tc>
      </w:tr>
    </w:tbl>
    <w:p w14:paraId="731B6379" w14:textId="77777777" w:rsidR="00883148" w:rsidRDefault="00883148" w:rsidP="008A7DD9">
      <w:pPr>
        <w:rPr>
          <w:rFonts w:asciiTheme="minorHAnsi" w:hAnsiTheme="minorHAnsi" w:cstheme="minorHAnsi"/>
          <w:sz w:val="20"/>
          <w:szCs w:val="20"/>
        </w:rPr>
      </w:pPr>
    </w:p>
    <w:p w14:paraId="16C2C9B0" w14:textId="0AAEE888" w:rsidR="008A7DD9" w:rsidRDefault="008A7DD9" w:rsidP="008A7DD9">
      <w:r w:rsidRPr="00AA236D">
        <w:rPr>
          <w:rFonts w:asciiTheme="minorHAnsi" w:hAnsiTheme="minorHAnsi" w:cstheme="minorHAnsi"/>
          <w:sz w:val="20"/>
          <w:szCs w:val="20"/>
        </w:rPr>
        <w:t xml:space="preserve">Notes: Standard errors in parentheses.  *p 0.10, **p&lt;.05, ***p&lt;.01 (robust </w:t>
      </w:r>
      <w:r w:rsidR="00AA236D">
        <w:rPr>
          <w:rFonts w:asciiTheme="minorHAnsi" w:hAnsiTheme="minorHAnsi" w:cstheme="minorHAnsi"/>
          <w:sz w:val="20"/>
          <w:szCs w:val="20"/>
        </w:rPr>
        <w:t xml:space="preserve">standard </w:t>
      </w:r>
      <w:r w:rsidRPr="00AA236D">
        <w:rPr>
          <w:rFonts w:asciiTheme="minorHAnsi" w:hAnsiTheme="minorHAnsi" w:cstheme="minorHAnsi"/>
          <w:sz w:val="20"/>
          <w:szCs w:val="20"/>
        </w:rPr>
        <w:t>errors</w:t>
      </w:r>
      <w:r>
        <w:t>)</w:t>
      </w:r>
    </w:p>
    <w:p w14:paraId="4EA41B9A" w14:textId="236FBD14" w:rsidR="00454173" w:rsidRDefault="00454173" w:rsidP="00081B9B">
      <w:pPr>
        <w:rPr>
          <w:b/>
        </w:rPr>
      </w:pPr>
    </w:p>
    <w:p w14:paraId="22160C58" w14:textId="197AF383" w:rsidR="000322E1" w:rsidRDefault="00060EC0" w:rsidP="00060EC0">
      <w:pPr>
        <w:rPr>
          <w:b/>
        </w:rPr>
      </w:pPr>
      <w:r>
        <w:rPr>
          <w:b/>
        </w:rPr>
        <w:lastRenderedPageBreak/>
        <w:t>V</w:t>
      </w:r>
      <w:r w:rsidR="00702E21">
        <w:rPr>
          <w:b/>
        </w:rPr>
        <w:t>I</w:t>
      </w:r>
      <w:r>
        <w:rPr>
          <w:b/>
        </w:rPr>
        <w:t xml:space="preserve">. </w:t>
      </w:r>
      <w:r w:rsidR="00C97BC0">
        <w:rPr>
          <w:b/>
        </w:rPr>
        <w:t>Discuss</w:t>
      </w:r>
      <w:r w:rsidR="009E079F">
        <w:rPr>
          <w:b/>
        </w:rPr>
        <w:t>i</w:t>
      </w:r>
      <w:r w:rsidR="00C97BC0">
        <w:rPr>
          <w:b/>
        </w:rPr>
        <w:t>on</w:t>
      </w:r>
      <w:r w:rsidR="0072084A">
        <w:rPr>
          <w:b/>
        </w:rPr>
        <w:t xml:space="preserve"> </w:t>
      </w:r>
      <w:r w:rsidR="000322E1">
        <w:rPr>
          <w:b/>
        </w:rPr>
        <w:t xml:space="preserve"> </w:t>
      </w:r>
    </w:p>
    <w:p w14:paraId="42E45A1E" w14:textId="77777777" w:rsidR="00060EC0" w:rsidRDefault="00060EC0" w:rsidP="00060EC0">
      <w:pPr>
        <w:rPr>
          <w:b/>
        </w:rPr>
      </w:pPr>
    </w:p>
    <w:p w14:paraId="4D621C0C" w14:textId="4DC4B63B" w:rsidR="00706744" w:rsidRDefault="00706744" w:rsidP="0069501B">
      <w:r>
        <w:tab/>
      </w:r>
      <w:r w:rsidR="00D47007">
        <w:t xml:space="preserve">The “fit” of our model is improving quite significantly over time. Even with additional town data points, the variance in the virus infection rate </w:t>
      </w:r>
      <w:r w:rsidR="00EE3A52">
        <w:t xml:space="preserve">is better explained on 5/6 than on 4/15. </w:t>
      </w:r>
      <w:r w:rsidR="00CF3617">
        <w:t xml:space="preserve">Beyond the statistical significance of the results, it is important to </w:t>
      </w:r>
      <w:r w:rsidR="00EE3A52">
        <w:t>assess</w:t>
      </w:r>
      <w:r w:rsidR="00CF3617">
        <w:t xml:space="preserve"> the </w:t>
      </w:r>
      <w:r w:rsidR="00C72F94">
        <w:t xml:space="preserve">quantitative </w:t>
      </w:r>
      <w:r w:rsidR="00CF3617">
        <w:t xml:space="preserve">impact of </w:t>
      </w:r>
      <w:r w:rsidR="000169F7">
        <w:t xml:space="preserve">overall </w:t>
      </w:r>
      <w:r w:rsidR="00CF3617">
        <w:t xml:space="preserve">community </w:t>
      </w:r>
      <w:r w:rsidR="000169F7">
        <w:t xml:space="preserve">land use on the prevalence of the Covid-19 disease. Within the </w:t>
      </w:r>
      <w:r w:rsidR="004935FC">
        <w:t xml:space="preserve">subsample of </w:t>
      </w:r>
      <w:r w:rsidR="000169F7">
        <w:t xml:space="preserve">Boston MSA </w:t>
      </w:r>
      <w:r w:rsidR="004935FC">
        <w:t>t</w:t>
      </w:r>
      <w:r w:rsidR="000169F7">
        <w:t>owns</w:t>
      </w:r>
      <w:r w:rsidR="00C72F94">
        <w:t>,</w:t>
      </w:r>
      <w:r w:rsidR="00134CC6">
        <w:t xml:space="preserve"> density ranges from roughly </w:t>
      </w:r>
      <w:r w:rsidR="00EE3A52">
        <w:t xml:space="preserve">160 </w:t>
      </w:r>
      <w:r w:rsidR="000169F7">
        <w:t xml:space="preserve">to 19000. </w:t>
      </w:r>
      <w:r w:rsidR="009D3188">
        <w:t>Using the most recent results for the Boston MSA, t</w:t>
      </w:r>
      <w:r w:rsidR="000169F7">
        <w:t>his range</w:t>
      </w:r>
      <w:r w:rsidR="004935FC">
        <w:t>, when</w:t>
      </w:r>
      <w:r w:rsidR="000169F7">
        <w:t xml:space="preserve"> </w:t>
      </w:r>
      <w:r w:rsidR="00D648B2">
        <w:t>taken to the power of .30</w:t>
      </w:r>
      <w:r w:rsidR="004935FC">
        <w:t>,</w:t>
      </w:r>
      <w:r w:rsidR="006B1BE3">
        <w:t xml:space="preserve"> generate</w:t>
      </w:r>
      <w:r w:rsidR="00C72F94">
        <w:t>s</w:t>
      </w:r>
      <w:r w:rsidR="006B1BE3">
        <w:t xml:space="preserve"> a predicted </w:t>
      </w:r>
      <w:r w:rsidR="00134CC6">
        <w:t>6</w:t>
      </w:r>
      <w:r w:rsidR="006B1BE3">
        <w:t xml:space="preserve">-fold increase in cases. </w:t>
      </w:r>
      <w:r w:rsidR="0061661B">
        <w:t xml:space="preserve"> In other words, the “slope” of the density coefficient is </w:t>
      </w:r>
      <w:r w:rsidR="006B1BE3">
        <w:t xml:space="preserve">very </w:t>
      </w:r>
      <w:r w:rsidR="00B04768">
        <w:t>“impactful”</w:t>
      </w:r>
      <w:r w:rsidR="006B1BE3">
        <w:t xml:space="preserve">. </w:t>
      </w:r>
      <w:r>
        <w:t>T</w:t>
      </w:r>
      <w:r w:rsidR="0061661B">
        <w:t>urning to the coefficient on commercial-industrial land use share. The sample range of</w:t>
      </w:r>
      <w:r w:rsidR="009D3188">
        <w:t xml:space="preserve"> .0</w:t>
      </w:r>
      <w:r w:rsidR="00EE3A52">
        <w:t>2</w:t>
      </w:r>
      <w:r w:rsidR="009D3188">
        <w:t>-to-</w:t>
      </w:r>
      <w:r w:rsidR="0061661B">
        <w:t xml:space="preserve">.63 when </w:t>
      </w:r>
      <w:r w:rsidR="009D3188">
        <w:t xml:space="preserve">taken to the power of .245 </w:t>
      </w:r>
      <w:r w:rsidR="0061661B">
        <w:t xml:space="preserve">predicts </w:t>
      </w:r>
      <w:r w:rsidR="00EE3A52">
        <w:t>a 130% increase in</w:t>
      </w:r>
      <w:r w:rsidR="0061661B">
        <w:t xml:space="preserve"> the case rate. While this is a significant impact – it is far from the impact of density.</w:t>
      </w:r>
      <w:r w:rsidR="004C606F">
        <w:t xml:space="preserve"> </w:t>
      </w:r>
      <w:r w:rsidR="00C72F94">
        <w:t>The full equation, however, c</w:t>
      </w:r>
      <w:r w:rsidR="004C606F">
        <w:t>ompound</w:t>
      </w:r>
      <w:r w:rsidR="00C72F94">
        <w:t xml:space="preserve">s the two effects. So </w:t>
      </w:r>
      <w:r w:rsidR="004C606F">
        <w:t>a city with .63 commercial land use share and the maximum density has 1</w:t>
      </w:r>
      <w:r w:rsidR="00EE3A52">
        <w:t>4</w:t>
      </w:r>
      <w:r w:rsidR="004C606F">
        <w:t xml:space="preserve"> </w:t>
      </w:r>
      <w:r w:rsidR="00DA7FAE">
        <w:t xml:space="preserve">times </w:t>
      </w:r>
      <w:r w:rsidR="004C606F">
        <w:t xml:space="preserve">the predicted virus cases </w:t>
      </w:r>
      <w:r w:rsidR="00B04768">
        <w:t xml:space="preserve">of </w:t>
      </w:r>
      <w:r w:rsidR="00C72F94">
        <w:t xml:space="preserve">a </w:t>
      </w:r>
      <w:r w:rsidR="004C606F">
        <w:t xml:space="preserve">suburban town with </w:t>
      </w:r>
      <w:r w:rsidR="00C72F94">
        <w:t xml:space="preserve">the minimum density and </w:t>
      </w:r>
      <w:r w:rsidR="004C606F">
        <w:t xml:space="preserve">only </w:t>
      </w:r>
      <w:r w:rsidR="00EE3A52">
        <w:t>2</w:t>
      </w:r>
      <w:r w:rsidR="009D3188">
        <w:t>% non-</w:t>
      </w:r>
      <w:r w:rsidR="004C606F">
        <w:t xml:space="preserve">residential land use. </w:t>
      </w:r>
      <w:r w:rsidR="00C72F94">
        <w:t xml:space="preserve">In the Boston MSA the </w:t>
      </w:r>
      <w:r w:rsidR="004D2800">
        <w:t xml:space="preserve">actual </w:t>
      </w:r>
      <w:r w:rsidR="00C72F94">
        <w:t xml:space="preserve">case rate </w:t>
      </w:r>
      <w:r w:rsidR="009D3188">
        <w:t xml:space="preserve">on 5/6 </w:t>
      </w:r>
      <w:r w:rsidR="00C72F94">
        <w:t xml:space="preserve">ranges from </w:t>
      </w:r>
      <w:r w:rsidR="00134CC6">
        <w:t>2</w:t>
      </w:r>
      <w:r w:rsidR="004D2800">
        <w:t>6</w:t>
      </w:r>
      <w:r w:rsidR="009D3188">
        <w:t>0 to 5958</w:t>
      </w:r>
      <w:r w:rsidR="00C72F94">
        <w:t xml:space="preserve"> or about </w:t>
      </w:r>
      <w:r w:rsidR="00134CC6">
        <w:t>20</w:t>
      </w:r>
      <w:r w:rsidR="00C72F94">
        <w:t>-fol</w:t>
      </w:r>
      <w:r w:rsidR="004D2800">
        <w:t xml:space="preserve">d. This is close to the predicted range. </w:t>
      </w:r>
    </w:p>
    <w:p w14:paraId="0D0C0981" w14:textId="7FD4662E" w:rsidR="00943886" w:rsidRDefault="00943886" w:rsidP="0069501B">
      <w:r>
        <w:tab/>
        <w:t>While significant statistically, percapita income is much less impactful. The full sample range in income (115k down to 19k) increases the virus rate by only 2</w:t>
      </w:r>
      <w:r w:rsidR="00EE3A52">
        <w:t>-</w:t>
      </w:r>
      <w:r>
        <w:t xml:space="preserve">fold. </w:t>
      </w:r>
    </w:p>
    <w:p w14:paraId="1261001B" w14:textId="77777777" w:rsidR="00D648B2" w:rsidRDefault="00D648B2" w:rsidP="0069501B"/>
    <w:p w14:paraId="3BB80E96" w14:textId="361AB7E5" w:rsidR="002C2F8E" w:rsidRDefault="002C2F8E" w:rsidP="0069501B">
      <w:r>
        <w:tab/>
        <w:t>Our empirical results can also shed some light on the elasticity of infection with respect to “social distancing”</w:t>
      </w:r>
      <w:r w:rsidR="00D648B2">
        <w:t>- if we engage is some highly stylized metrics.</w:t>
      </w:r>
      <w:r w:rsidR="00D648B2">
        <w:rPr>
          <w:rStyle w:val="FootnoteReference"/>
        </w:rPr>
        <w:footnoteReference w:id="1"/>
      </w:r>
      <w:r w:rsidR="00D648B2">
        <w:t xml:space="preserve"> </w:t>
      </w:r>
      <w:r w:rsidR="004A476C">
        <w:t>M</w:t>
      </w:r>
      <w:r>
        <w:t xml:space="preserve">edical advice </w:t>
      </w:r>
      <w:r w:rsidR="004A476C">
        <w:t xml:space="preserve">about the value of social distancing </w:t>
      </w:r>
      <w:r>
        <w:t xml:space="preserve">is premised on the idea that a little distance matters a lot, while a lot of distance matters little (more). If a square area with edge </w:t>
      </w:r>
      <w:r w:rsidR="00D648B2">
        <w:t xml:space="preserve">length </w:t>
      </w:r>
      <w:r>
        <w:t>N, is uniformly populated with P people each inhabits a square area of (N</w:t>
      </w:r>
      <w:r w:rsidRPr="002C2F8E">
        <w:rPr>
          <w:vertAlign w:val="superscript"/>
        </w:rPr>
        <w:t>2</w:t>
      </w:r>
      <w:r>
        <w:t>/P) and is Np</w:t>
      </w:r>
      <w:r w:rsidRPr="002C2F8E">
        <w:rPr>
          <w:vertAlign w:val="superscript"/>
        </w:rPr>
        <w:t>-1/2</w:t>
      </w:r>
      <w:r>
        <w:t xml:space="preserve"> distance from the nearest other member of the population. If we denote this “social distance” as S, </w:t>
      </w:r>
      <w:r w:rsidR="001410E5">
        <w:t>then density D = S</w:t>
      </w:r>
      <w:r w:rsidR="001410E5" w:rsidRPr="001410E5">
        <w:rPr>
          <w:vertAlign w:val="superscript"/>
        </w:rPr>
        <w:t>2</w:t>
      </w:r>
      <w:r w:rsidR="001410E5">
        <w:t xml:space="preserve">. Our estimated relationship between </w:t>
      </w:r>
      <w:r>
        <w:t xml:space="preserve">infection I </w:t>
      </w:r>
      <w:r w:rsidR="001410E5">
        <w:t xml:space="preserve">and density </w:t>
      </w:r>
      <w:r>
        <w:t>is I=</w:t>
      </w:r>
      <w:r w:rsidR="001410E5">
        <w:t>D</w:t>
      </w:r>
      <w:r w:rsidRPr="002C2F8E">
        <w:rPr>
          <w:vertAlign w:val="superscript"/>
        </w:rPr>
        <w:t>-</w:t>
      </w:r>
      <w:r w:rsidR="001410E5">
        <w:rPr>
          <w:vertAlign w:val="superscript"/>
        </w:rPr>
        <w:t>.3</w:t>
      </w:r>
      <w:r>
        <w:t xml:space="preserve">, </w:t>
      </w:r>
      <w:r w:rsidR="001410E5">
        <w:t>which is equivalent to I=S</w:t>
      </w:r>
      <w:r w:rsidR="001410E5" w:rsidRPr="002C2F8E">
        <w:rPr>
          <w:vertAlign w:val="superscript"/>
        </w:rPr>
        <w:t>-</w:t>
      </w:r>
      <w:r w:rsidR="001410E5">
        <w:rPr>
          <w:vertAlign w:val="superscript"/>
        </w:rPr>
        <w:t>.6</w:t>
      </w:r>
      <w:r w:rsidR="001410E5">
        <w:t xml:space="preserve">. </w:t>
      </w:r>
      <w:r>
        <w:t xml:space="preserve">There is in fact </w:t>
      </w:r>
      <w:r w:rsidR="00D648B2">
        <w:t xml:space="preserve">strongly </w:t>
      </w:r>
      <w:r>
        <w:t xml:space="preserve">diminishing returns from distancing.  </w:t>
      </w:r>
    </w:p>
    <w:p w14:paraId="47DAC875" w14:textId="77777777" w:rsidR="00706744" w:rsidRDefault="00706744" w:rsidP="0069501B"/>
    <w:p w14:paraId="2F491103" w14:textId="51927974" w:rsidR="0011292F" w:rsidRDefault="00706744" w:rsidP="0069501B">
      <w:r>
        <w:tab/>
      </w:r>
      <w:r w:rsidR="006B1BE3">
        <w:t xml:space="preserve">While dense </w:t>
      </w:r>
      <w:r w:rsidR="00134CC6">
        <w:t>urban</w:t>
      </w:r>
      <w:r w:rsidR="006B1BE3">
        <w:t xml:space="preserve"> living </w:t>
      </w:r>
      <w:r w:rsidR="004D2800">
        <w:t xml:space="preserve">clearly </w:t>
      </w:r>
      <w:r w:rsidR="006B1BE3">
        <w:t xml:space="preserve">still brings well documented economic benefits, if pandemic virus’ are to become more common, there may be a rethinking of whether these benefits are worth the </w:t>
      </w:r>
      <w:r w:rsidR="00EE3A52">
        <w:t xml:space="preserve">magnitude of the </w:t>
      </w:r>
      <w:r w:rsidR="006B1BE3">
        <w:t>risks uncovered here.</w:t>
      </w:r>
      <w:r w:rsidR="0011292F">
        <w:t xml:space="preserve"> </w:t>
      </w:r>
    </w:p>
    <w:p w14:paraId="211E7822" w14:textId="77777777" w:rsidR="0011292F" w:rsidRDefault="0011292F" w:rsidP="0069501B"/>
    <w:p w14:paraId="49066ED6" w14:textId="03A4A6AC" w:rsidR="00883148" w:rsidRDefault="003E418E" w:rsidP="00592092">
      <w:pPr>
        <w:rPr>
          <w:b/>
        </w:rPr>
      </w:pPr>
      <w:r>
        <w:tab/>
      </w:r>
      <w:r>
        <w:tab/>
      </w:r>
      <w:r>
        <w:tab/>
      </w:r>
      <w:r>
        <w:tab/>
      </w:r>
      <w:r w:rsidRPr="003E418E">
        <w:rPr>
          <w:b/>
        </w:rPr>
        <w:tab/>
      </w:r>
    </w:p>
    <w:p w14:paraId="4A59FCAA" w14:textId="7215C842" w:rsidR="00883148" w:rsidRDefault="00883148" w:rsidP="00592092">
      <w:pPr>
        <w:rPr>
          <w:b/>
        </w:rPr>
      </w:pPr>
    </w:p>
    <w:p w14:paraId="48B086B5" w14:textId="372CBBF9" w:rsidR="00D648B2" w:rsidRDefault="00D648B2" w:rsidP="00592092">
      <w:pPr>
        <w:rPr>
          <w:b/>
        </w:rPr>
      </w:pPr>
    </w:p>
    <w:p w14:paraId="4A3420B7" w14:textId="4CD7DD7A" w:rsidR="00D648B2" w:rsidRDefault="00D648B2" w:rsidP="00592092">
      <w:pPr>
        <w:rPr>
          <w:b/>
        </w:rPr>
      </w:pPr>
    </w:p>
    <w:p w14:paraId="105878B9" w14:textId="2D1C1E29" w:rsidR="00D648B2" w:rsidRDefault="00D648B2" w:rsidP="00592092">
      <w:pPr>
        <w:rPr>
          <w:b/>
        </w:rPr>
      </w:pPr>
    </w:p>
    <w:p w14:paraId="2ABDD347" w14:textId="4F5F101A" w:rsidR="00D648B2" w:rsidRDefault="00D648B2" w:rsidP="00592092">
      <w:pPr>
        <w:rPr>
          <w:b/>
        </w:rPr>
      </w:pPr>
    </w:p>
    <w:p w14:paraId="0CF98FF6" w14:textId="5D149407" w:rsidR="00D648B2" w:rsidRDefault="00D648B2" w:rsidP="00592092">
      <w:pPr>
        <w:rPr>
          <w:b/>
        </w:rPr>
      </w:pPr>
    </w:p>
    <w:p w14:paraId="797FAB34" w14:textId="31D7E1DA" w:rsidR="00D648B2" w:rsidRDefault="00D648B2" w:rsidP="00592092">
      <w:pPr>
        <w:rPr>
          <w:b/>
        </w:rPr>
      </w:pPr>
    </w:p>
    <w:p w14:paraId="42003AB1" w14:textId="1DD8719E" w:rsidR="00D648B2" w:rsidRDefault="00D648B2" w:rsidP="00592092">
      <w:pPr>
        <w:rPr>
          <w:b/>
        </w:rPr>
      </w:pPr>
    </w:p>
    <w:p w14:paraId="138B81A9" w14:textId="69F9D9E7" w:rsidR="00D648B2" w:rsidRDefault="00D648B2" w:rsidP="00592092">
      <w:pPr>
        <w:rPr>
          <w:b/>
        </w:rPr>
      </w:pPr>
    </w:p>
    <w:p w14:paraId="312964E3" w14:textId="1C101682" w:rsidR="00D648B2" w:rsidRDefault="00D648B2" w:rsidP="00592092">
      <w:pPr>
        <w:rPr>
          <w:b/>
        </w:rPr>
      </w:pPr>
    </w:p>
    <w:p w14:paraId="303C3BFD" w14:textId="11D62CAF" w:rsidR="00D648B2" w:rsidRDefault="00D648B2" w:rsidP="00592092">
      <w:pPr>
        <w:rPr>
          <w:b/>
        </w:rPr>
      </w:pPr>
    </w:p>
    <w:p w14:paraId="607CEBE5" w14:textId="3372A47B" w:rsidR="00D648B2" w:rsidRDefault="00D648B2" w:rsidP="00592092">
      <w:pPr>
        <w:rPr>
          <w:b/>
        </w:rPr>
      </w:pPr>
    </w:p>
    <w:p w14:paraId="501CD8ED" w14:textId="7DBAD88E" w:rsidR="00D648B2" w:rsidRDefault="00D648B2" w:rsidP="00592092">
      <w:pPr>
        <w:rPr>
          <w:b/>
        </w:rPr>
      </w:pPr>
    </w:p>
    <w:p w14:paraId="0412C556" w14:textId="5F29308F" w:rsidR="00D648B2" w:rsidRDefault="00D648B2" w:rsidP="00592092">
      <w:pPr>
        <w:rPr>
          <w:b/>
        </w:rPr>
      </w:pPr>
    </w:p>
    <w:p w14:paraId="4A38C041" w14:textId="77777777" w:rsidR="00D648B2" w:rsidRDefault="00D648B2" w:rsidP="00592092">
      <w:pPr>
        <w:rPr>
          <w:b/>
        </w:rPr>
      </w:pPr>
    </w:p>
    <w:p w14:paraId="21924CC8" w14:textId="444DE0C7" w:rsidR="003E418E" w:rsidRDefault="00883148" w:rsidP="00592092">
      <w:pPr>
        <w:rPr>
          <w:b/>
        </w:rPr>
      </w:pPr>
      <w:r>
        <w:rPr>
          <w:b/>
        </w:rPr>
        <w:tab/>
      </w:r>
      <w:r>
        <w:rPr>
          <w:b/>
        </w:rPr>
        <w:tab/>
      </w:r>
      <w:r>
        <w:rPr>
          <w:b/>
        </w:rPr>
        <w:tab/>
      </w:r>
      <w:r>
        <w:rPr>
          <w:b/>
        </w:rPr>
        <w:tab/>
      </w:r>
      <w:r>
        <w:rPr>
          <w:b/>
        </w:rPr>
        <w:tab/>
      </w:r>
      <w:r w:rsidR="003E418E" w:rsidRPr="003E418E">
        <w:rPr>
          <w:b/>
        </w:rPr>
        <w:t>REFERENCES</w:t>
      </w:r>
    </w:p>
    <w:p w14:paraId="1FF2CCC0" w14:textId="77777777" w:rsidR="00755850" w:rsidRDefault="00755850" w:rsidP="006655E2">
      <w:pPr>
        <w:kinsoku w:val="0"/>
        <w:overflowPunct w:val="0"/>
        <w:autoSpaceDE w:val="0"/>
        <w:autoSpaceDN w:val="0"/>
        <w:adjustRightInd w:val="0"/>
        <w:spacing w:line="292" w:lineRule="exact"/>
        <w:jc w:val="both"/>
        <w:rPr>
          <w:b/>
        </w:rPr>
      </w:pPr>
    </w:p>
    <w:p w14:paraId="306DE94A" w14:textId="77777777" w:rsidR="00755850" w:rsidRDefault="00755850" w:rsidP="006655E2">
      <w:pPr>
        <w:kinsoku w:val="0"/>
        <w:overflowPunct w:val="0"/>
        <w:autoSpaceDE w:val="0"/>
        <w:autoSpaceDN w:val="0"/>
        <w:adjustRightInd w:val="0"/>
        <w:spacing w:line="292" w:lineRule="exact"/>
        <w:jc w:val="both"/>
        <w:rPr>
          <w:b/>
        </w:rPr>
      </w:pPr>
    </w:p>
    <w:p w14:paraId="7DAAF863" w14:textId="77777777" w:rsidR="00B7551C" w:rsidRDefault="00B7551C" w:rsidP="00B7551C">
      <w:proofErr w:type="spellStart"/>
      <w:r w:rsidRPr="0016323C">
        <w:t>Ciccone</w:t>
      </w:r>
      <w:proofErr w:type="spellEnd"/>
      <w:r w:rsidRPr="0016323C">
        <w:t xml:space="preserve">, Antonio &amp; Hall, Robert E, 1996. "Productivity and the Density of Economic Activity," </w:t>
      </w:r>
      <w:r w:rsidRPr="0016323C">
        <w:rPr>
          <w:i/>
        </w:rPr>
        <w:t>American Economic Review</w:t>
      </w:r>
      <w:r w:rsidRPr="0016323C">
        <w:t>, vol. 86(1), pages 54-70, March.</w:t>
      </w:r>
    </w:p>
    <w:p w14:paraId="49BED192" w14:textId="77777777" w:rsidR="00B7551C" w:rsidRDefault="00B7551C" w:rsidP="006655E2">
      <w:pPr>
        <w:kinsoku w:val="0"/>
        <w:overflowPunct w:val="0"/>
        <w:autoSpaceDE w:val="0"/>
        <w:autoSpaceDN w:val="0"/>
        <w:adjustRightInd w:val="0"/>
        <w:spacing w:line="292" w:lineRule="exact"/>
        <w:jc w:val="both"/>
        <w:rPr>
          <w:rFonts w:eastAsia="PMingLiU"/>
          <w:spacing w:val="-1"/>
          <w:w w:val="110"/>
        </w:rPr>
      </w:pPr>
    </w:p>
    <w:p w14:paraId="1B59ED22" w14:textId="362E6D44" w:rsidR="00F30DF8" w:rsidRDefault="00755850" w:rsidP="006655E2">
      <w:pPr>
        <w:kinsoku w:val="0"/>
        <w:overflowPunct w:val="0"/>
        <w:autoSpaceDE w:val="0"/>
        <w:autoSpaceDN w:val="0"/>
        <w:adjustRightInd w:val="0"/>
        <w:spacing w:line="292" w:lineRule="exact"/>
        <w:jc w:val="both"/>
        <w:rPr>
          <w:rFonts w:eastAsia="PMingLiU"/>
          <w:i/>
          <w:spacing w:val="-1"/>
          <w:w w:val="110"/>
        </w:rPr>
      </w:pPr>
      <w:proofErr w:type="spellStart"/>
      <w:r>
        <w:rPr>
          <w:rFonts w:eastAsia="PMingLiU"/>
          <w:spacing w:val="-1"/>
          <w:w w:val="110"/>
        </w:rPr>
        <w:t>Glaeser</w:t>
      </w:r>
      <w:proofErr w:type="spellEnd"/>
      <w:r w:rsidR="00506EBB" w:rsidRPr="00F30DF8">
        <w:rPr>
          <w:rFonts w:eastAsia="PMingLiU"/>
          <w:spacing w:val="-1"/>
          <w:w w:val="110"/>
        </w:rPr>
        <w:t xml:space="preserve">, </w:t>
      </w:r>
      <w:r>
        <w:rPr>
          <w:rFonts w:eastAsia="PMingLiU"/>
          <w:spacing w:val="-1"/>
          <w:w w:val="110"/>
        </w:rPr>
        <w:t>Edward.</w:t>
      </w:r>
      <w:r w:rsidR="00D02736">
        <w:rPr>
          <w:rFonts w:eastAsia="PMingLiU"/>
          <w:spacing w:val="-1"/>
          <w:w w:val="110"/>
        </w:rPr>
        <w:t xml:space="preserve"> (2010)</w:t>
      </w:r>
      <w:r>
        <w:rPr>
          <w:rFonts w:eastAsia="PMingLiU"/>
          <w:spacing w:val="-1"/>
          <w:w w:val="110"/>
        </w:rPr>
        <w:t xml:space="preserve"> </w:t>
      </w:r>
      <w:r>
        <w:rPr>
          <w:rFonts w:eastAsia="PMingLiU"/>
          <w:i/>
          <w:spacing w:val="-1"/>
          <w:w w:val="110"/>
        </w:rPr>
        <w:t>The Triumph of the City…,</w:t>
      </w:r>
      <w:r w:rsidR="00DA7FAE">
        <w:rPr>
          <w:rFonts w:eastAsia="PMingLiU"/>
          <w:i/>
          <w:spacing w:val="-1"/>
          <w:w w:val="110"/>
        </w:rPr>
        <w:t xml:space="preserve"> </w:t>
      </w:r>
      <w:r>
        <w:rPr>
          <w:rFonts w:eastAsia="PMingLiU"/>
          <w:spacing w:val="-1"/>
          <w:w w:val="110"/>
        </w:rPr>
        <w:t xml:space="preserve">The Penguin Press. </w:t>
      </w:r>
      <w:r>
        <w:rPr>
          <w:rFonts w:eastAsia="PMingLiU"/>
          <w:i/>
          <w:spacing w:val="-1"/>
          <w:w w:val="110"/>
        </w:rPr>
        <w:t xml:space="preserve"> </w:t>
      </w:r>
    </w:p>
    <w:p w14:paraId="5C72C045" w14:textId="77777777" w:rsidR="00755850" w:rsidRDefault="00755850" w:rsidP="006655E2">
      <w:pPr>
        <w:kinsoku w:val="0"/>
        <w:overflowPunct w:val="0"/>
        <w:autoSpaceDE w:val="0"/>
        <w:autoSpaceDN w:val="0"/>
        <w:adjustRightInd w:val="0"/>
        <w:spacing w:line="292" w:lineRule="exact"/>
        <w:jc w:val="both"/>
        <w:rPr>
          <w:rFonts w:eastAsia="PMingLiU"/>
          <w:spacing w:val="-1"/>
          <w:w w:val="110"/>
        </w:rPr>
      </w:pPr>
    </w:p>
    <w:p w14:paraId="4633E0DC" w14:textId="0CFE5E02" w:rsidR="00F30DF8" w:rsidRPr="00F30DF8" w:rsidRDefault="00755850" w:rsidP="006655E2">
      <w:pPr>
        <w:kinsoku w:val="0"/>
        <w:overflowPunct w:val="0"/>
        <w:autoSpaceDE w:val="0"/>
        <w:autoSpaceDN w:val="0"/>
        <w:adjustRightInd w:val="0"/>
        <w:spacing w:line="292" w:lineRule="exact"/>
        <w:jc w:val="both"/>
        <w:rPr>
          <w:rFonts w:eastAsia="PMingLiU"/>
          <w:spacing w:val="-1"/>
          <w:w w:val="110"/>
        </w:rPr>
      </w:pPr>
      <w:r>
        <w:rPr>
          <w:rFonts w:eastAsia="PMingLiU"/>
          <w:spacing w:val="-1"/>
          <w:w w:val="110"/>
        </w:rPr>
        <w:t xml:space="preserve">Jacobs, Jane. </w:t>
      </w:r>
      <w:r w:rsidR="00D02736">
        <w:rPr>
          <w:rFonts w:eastAsia="PMingLiU"/>
          <w:spacing w:val="-1"/>
          <w:w w:val="110"/>
        </w:rPr>
        <w:t xml:space="preserve">(1961) </w:t>
      </w:r>
      <w:r w:rsidR="00F30DF8" w:rsidRPr="00F30DF8">
        <w:rPr>
          <w:rFonts w:eastAsia="PMingLiU"/>
          <w:i/>
          <w:spacing w:val="-1"/>
          <w:w w:val="110"/>
        </w:rPr>
        <w:t xml:space="preserve">The </w:t>
      </w:r>
      <w:r>
        <w:rPr>
          <w:rFonts w:eastAsia="PMingLiU"/>
          <w:i/>
          <w:spacing w:val="-1"/>
          <w:w w:val="110"/>
        </w:rPr>
        <w:t>Life and Death of Great American Cities.</w:t>
      </w:r>
      <w:r>
        <w:rPr>
          <w:rFonts w:eastAsia="PMingLiU"/>
          <w:spacing w:val="-1"/>
          <w:w w:val="110"/>
        </w:rPr>
        <w:t xml:space="preserve"> Random House, NY</w:t>
      </w:r>
      <w:r w:rsidR="00F30DF8">
        <w:rPr>
          <w:rFonts w:eastAsia="PMingLiU"/>
          <w:spacing w:val="-1"/>
          <w:w w:val="110"/>
        </w:rPr>
        <w:t xml:space="preserve">. </w:t>
      </w:r>
    </w:p>
    <w:p w14:paraId="01BEBF94" w14:textId="77777777" w:rsidR="00B7551C" w:rsidRDefault="00B7551C" w:rsidP="006655E2">
      <w:pPr>
        <w:kinsoku w:val="0"/>
        <w:overflowPunct w:val="0"/>
        <w:autoSpaceDE w:val="0"/>
        <w:autoSpaceDN w:val="0"/>
        <w:adjustRightInd w:val="0"/>
        <w:spacing w:line="292" w:lineRule="exact"/>
        <w:jc w:val="both"/>
      </w:pPr>
    </w:p>
    <w:p w14:paraId="0B156306" w14:textId="2307EA93" w:rsidR="00F30DF8" w:rsidRPr="00B7551C" w:rsidRDefault="006F4ED1" w:rsidP="006655E2">
      <w:pPr>
        <w:kinsoku w:val="0"/>
        <w:overflowPunct w:val="0"/>
        <w:autoSpaceDE w:val="0"/>
        <w:autoSpaceDN w:val="0"/>
        <w:adjustRightInd w:val="0"/>
        <w:spacing w:line="292" w:lineRule="exact"/>
        <w:jc w:val="both"/>
      </w:pPr>
      <w:r w:rsidRPr="00B7551C">
        <w:t>Krugman, P. (1991)</w:t>
      </w:r>
      <w:r w:rsidR="00B7551C" w:rsidRPr="00B7551C">
        <w:t xml:space="preserve"> </w:t>
      </w:r>
      <w:r w:rsidRPr="00D02736">
        <w:rPr>
          <w:i/>
        </w:rPr>
        <w:t>Geography and Trade</w:t>
      </w:r>
      <w:r w:rsidRPr="00B7551C">
        <w:t>. MIT Press.</w:t>
      </w:r>
    </w:p>
    <w:p w14:paraId="1E7EE3AC" w14:textId="77777777" w:rsidR="006F4ED1" w:rsidRPr="00F30DF8" w:rsidRDefault="006F4ED1" w:rsidP="006655E2">
      <w:pPr>
        <w:kinsoku w:val="0"/>
        <w:overflowPunct w:val="0"/>
        <w:autoSpaceDE w:val="0"/>
        <w:autoSpaceDN w:val="0"/>
        <w:adjustRightInd w:val="0"/>
        <w:spacing w:line="292" w:lineRule="exact"/>
        <w:jc w:val="both"/>
        <w:rPr>
          <w:rFonts w:eastAsia="PMingLiU"/>
          <w:spacing w:val="-1"/>
          <w:w w:val="110"/>
        </w:rPr>
      </w:pPr>
    </w:p>
    <w:p w14:paraId="3E1BCC4A" w14:textId="163049CF" w:rsidR="00B7551C" w:rsidRDefault="00FD258D" w:rsidP="0016323C">
      <w:hyperlink r:id="rId15" w:history="1">
        <w:r w:rsidR="00D02736" w:rsidRPr="00992E10">
          <w:rPr>
            <w:rStyle w:val="Hyperlink"/>
          </w:rPr>
          <w:t>https://www.nytimes.com/2020/04/12/us/coronavirus-biogen-boston-superspreader.html</w:t>
        </w:r>
      </w:hyperlink>
    </w:p>
    <w:p w14:paraId="33ED7479" w14:textId="558C3F79" w:rsidR="00D02736" w:rsidRDefault="00D02736" w:rsidP="0016323C"/>
    <w:p w14:paraId="006BE46B" w14:textId="47665BBC" w:rsidR="00D02736" w:rsidRDefault="00D02736" w:rsidP="0016323C">
      <w:r>
        <w:t>Wheaton, W., Kinsella, A.K. (2020) “The Geography of Covid-19 Growth in the US: Counties and M</w:t>
      </w:r>
      <w:r w:rsidR="004D2800">
        <w:t>etropolitan areas</w:t>
      </w:r>
      <w:r>
        <w:t xml:space="preserve">”, MIT Working Paper, SSRN 3570540. </w:t>
      </w:r>
    </w:p>
    <w:p w14:paraId="7BF6AA58" w14:textId="40F1EE6D" w:rsidR="00D02736" w:rsidRDefault="00D02736" w:rsidP="0016323C"/>
    <w:p w14:paraId="1C549A33" w14:textId="77777777" w:rsidR="00D02736" w:rsidRPr="0016323C" w:rsidRDefault="00D02736" w:rsidP="0016323C"/>
    <w:sectPr w:rsidR="00D02736" w:rsidRPr="0016323C" w:rsidSect="0002045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780E1" w16cid:durableId="2235D3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CF6D" w14:textId="77777777" w:rsidR="00FD258D" w:rsidRDefault="00FD258D" w:rsidP="00D648B2">
      <w:r>
        <w:separator/>
      </w:r>
    </w:p>
  </w:endnote>
  <w:endnote w:type="continuationSeparator" w:id="0">
    <w:p w14:paraId="37DF59B8" w14:textId="77777777" w:rsidR="00FD258D" w:rsidRDefault="00FD258D" w:rsidP="00D6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B861A" w14:textId="77777777" w:rsidR="00FD258D" w:rsidRDefault="00FD258D" w:rsidP="00D648B2">
      <w:r>
        <w:separator/>
      </w:r>
    </w:p>
  </w:footnote>
  <w:footnote w:type="continuationSeparator" w:id="0">
    <w:p w14:paraId="0AE1EC61" w14:textId="77777777" w:rsidR="00FD258D" w:rsidRDefault="00FD258D" w:rsidP="00D648B2">
      <w:r>
        <w:continuationSeparator/>
      </w:r>
    </w:p>
  </w:footnote>
  <w:footnote w:id="1">
    <w:p w14:paraId="596E2657" w14:textId="77D6A066" w:rsidR="00D648B2" w:rsidRDefault="00D648B2">
      <w:pPr>
        <w:pStyle w:val="FootnoteText"/>
      </w:pPr>
      <w:r>
        <w:rPr>
          <w:rStyle w:val="FootnoteReference"/>
        </w:rPr>
        <w:footnoteRef/>
      </w:r>
      <w:r>
        <w:t xml:space="preserve"> Thanks to my colleague Jeff Harris for this discussion.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FF"/>
    <w:multiLevelType w:val="hybridMultilevel"/>
    <w:tmpl w:val="36A234D0"/>
    <w:lvl w:ilvl="0" w:tplc="04090001">
      <w:start w:val="1"/>
      <w:numFmt w:val="bullet"/>
      <w:lvlText w:val=""/>
      <w:lvlJc w:val="left"/>
      <w:pPr>
        <w:tabs>
          <w:tab w:val="num" w:pos="2520"/>
        </w:tabs>
        <w:ind w:left="2520" w:hanging="360"/>
      </w:pPr>
      <w:rPr>
        <w:rFonts w:ascii="Symbol" w:hAnsi="Symbol" w:hint="default"/>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411232D"/>
    <w:multiLevelType w:val="hybridMultilevel"/>
    <w:tmpl w:val="ED7670EC"/>
    <w:lvl w:ilvl="0" w:tplc="E20EF8F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719799C"/>
    <w:multiLevelType w:val="hybridMultilevel"/>
    <w:tmpl w:val="14AA3A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F21E6"/>
    <w:multiLevelType w:val="hybridMultilevel"/>
    <w:tmpl w:val="40EC06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2411936"/>
    <w:multiLevelType w:val="hybridMultilevel"/>
    <w:tmpl w:val="E6F61A0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BDF1C02"/>
    <w:multiLevelType w:val="hybridMultilevel"/>
    <w:tmpl w:val="BAB2E08E"/>
    <w:lvl w:ilvl="0" w:tplc="33FE071A">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49A61EE7"/>
    <w:multiLevelType w:val="hybridMultilevel"/>
    <w:tmpl w:val="867CDE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3953EF"/>
    <w:multiLevelType w:val="hybridMultilevel"/>
    <w:tmpl w:val="6574AF5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3F3E65"/>
    <w:multiLevelType w:val="hybridMultilevel"/>
    <w:tmpl w:val="B048386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54126EEC"/>
    <w:multiLevelType w:val="hybridMultilevel"/>
    <w:tmpl w:val="A7BA390E"/>
    <w:lvl w:ilvl="0" w:tplc="1798AA3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DD575A2"/>
    <w:multiLevelType w:val="hybridMultilevel"/>
    <w:tmpl w:val="C25834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B0F11"/>
    <w:multiLevelType w:val="hybridMultilevel"/>
    <w:tmpl w:val="7DEEA8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9"/>
  </w:num>
  <w:num w:numId="6">
    <w:abstractNumId w:val="3"/>
  </w:num>
  <w:num w:numId="7">
    <w:abstractNumId w:val="7"/>
  </w:num>
  <w:num w:numId="8">
    <w:abstractNumId w:val="0"/>
  </w:num>
  <w:num w:numId="9">
    <w:abstractNumId w:val="4"/>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1B"/>
    <w:rsid w:val="00006996"/>
    <w:rsid w:val="0001009D"/>
    <w:rsid w:val="00014475"/>
    <w:rsid w:val="000154E0"/>
    <w:rsid w:val="00015F7E"/>
    <w:rsid w:val="000169F7"/>
    <w:rsid w:val="00020451"/>
    <w:rsid w:val="00030B27"/>
    <w:rsid w:val="000321CC"/>
    <w:rsid w:val="000322E1"/>
    <w:rsid w:val="0003232A"/>
    <w:rsid w:val="00036E5A"/>
    <w:rsid w:val="00042619"/>
    <w:rsid w:val="00043178"/>
    <w:rsid w:val="00046983"/>
    <w:rsid w:val="00055D5E"/>
    <w:rsid w:val="00056D0E"/>
    <w:rsid w:val="00060EC0"/>
    <w:rsid w:val="00061CB9"/>
    <w:rsid w:val="00065034"/>
    <w:rsid w:val="0006638D"/>
    <w:rsid w:val="00066E40"/>
    <w:rsid w:val="00070511"/>
    <w:rsid w:val="0007772D"/>
    <w:rsid w:val="000806D4"/>
    <w:rsid w:val="00081B9B"/>
    <w:rsid w:val="000914F3"/>
    <w:rsid w:val="00092C05"/>
    <w:rsid w:val="00093C4F"/>
    <w:rsid w:val="0009531B"/>
    <w:rsid w:val="00097952"/>
    <w:rsid w:val="000A0BC1"/>
    <w:rsid w:val="000A45F7"/>
    <w:rsid w:val="000A7202"/>
    <w:rsid w:val="000A7733"/>
    <w:rsid w:val="000B4766"/>
    <w:rsid w:val="000B4802"/>
    <w:rsid w:val="000B4FF9"/>
    <w:rsid w:val="000B6EB4"/>
    <w:rsid w:val="000C1EC0"/>
    <w:rsid w:val="000C2605"/>
    <w:rsid w:val="000C2D0F"/>
    <w:rsid w:val="000D2326"/>
    <w:rsid w:val="000D2856"/>
    <w:rsid w:val="000D2CC0"/>
    <w:rsid w:val="000D3911"/>
    <w:rsid w:val="000E406F"/>
    <w:rsid w:val="000E5EF3"/>
    <w:rsid w:val="000E7738"/>
    <w:rsid w:val="000F0B11"/>
    <w:rsid w:val="000F7201"/>
    <w:rsid w:val="001003EA"/>
    <w:rsid w:val="00102227"/>
    <w:rsid w:val="0010351B"/>
    <w:rsid w:val="001069A3"/>
    <w:rsid w:val="00106B7F"/>
    <w:rsid w:val="00106B90"/>
    <w:rsid w:val="00110548"/>
    <w:rsid w:val="0011292F"/>
    <w:rsid w:val="001146CD"/>
    <w:rsid w:val="00120A38"/>
    <w:rsid w:val="00121F85"/>
    <w:rsid w:val="001238EE"/>
    <w:rsid w:val="00124F14"/>
    <w:rsid w:val="00127565"/>
    <w:rsid w:val="001319B6"/>
    <w:rsid w:val="00134CC6"/>
    <w:rsid w:val="00134FCA"/>
    <w:rsid w:val="00136BFA"/>
    <w:rsid w:val="00137C2E"/>
    <w:rsid w:val="00140A96"/>
    <w:rsid w:val="00140DDA"/>
    <w:rsid w:val="001410E5"/>
    <w:rsid w:val="001451CC"/>
    <w:rsid w:val="00150311"/>
    <w:rsid w:val="001554B9"/>
    <w:rsid w:val="00162221"/>
    <w:rsid w:val="0016323C"/>
    <w:rsid w:val="001656EF"/>
    <w:rsid w:val="00165E00"/>
    <w:rsid w:val="0017170D"/>
    <w:rsid w:val="001832A9"/>
    <w:rsid w:val="001909E1"/>
    <w:rsid w:val="001959E8"/>
    <w:rsid w:val="001972B0"/>
    <w:rsid w:val="001A4A1B"/>
    <w:rsid w:val="001B6DBE"/>
    <w:rsid w:val="001B744A"/>
    <w:rsid w:val="001C0DF0"/>
    <w:rsid w:val="001C4219"/>
    <w:rsid w:val="001C5F41"/>
    <w:rsid w:val="001D00AE"/>
    <w:rsid w:val="001E0AF4"/>
    <w:rsid w:val="001E283B"/>
    <w:rsid w:val="001E7C0A"/>
    <w:rsid w:val="001F306C"/>
    <w:rsid w:val="001F4521"/>
    <w:rsid w:val="001F4C13"/>
    <w:rsid w:val="001F5BA5"/>
    <w:rsid w:val="00216356"/>
    <w:rsid w:val="0021775A"/>
    <w:rsid w:val="002213E5"/>
    <w:rsid w:val="00234D6F"/>
    <w:rsid w:val="00242A53"/>
    <w:rsid w:val="00251145"/>
    <w:rsid w:val="0025380A"/>
    <w:rsid w:val="002545AB"/>
    <w:rsid w:val="0025577C"/>
    <w:rsid w:val="00255BC6"/>
    <w:rsid w:val="00262A7D"/>
    <w:rsid w:val="0026327D"/>
    <w:rsid w:val="00264D39"/>
    <w:rsid w:val="00270971"/>
    <w:rsid w:val="00272852"/>
    <w:rsid w:val="00283F80"/>
    <w:rsid w:val="00284D57"/>
    <w:rsid w:val="0028668F"/>
    <w:rsid w:val="0029034C"/>
    <w:rsid w:val="0029624D"/>
    <w:rsid w:val="00297276"/>
    <w:rsid w:val="002979F1"/>
    <w:rsid w:val="002A4BDC"/>
    <w:rsid w:val="002A50F2"/>
    <w:rsid w:val="002A5102"/>
    <w:rsid w:val="002A7200"/>
    <w:rsid w:val="002A7DC2"/>
    <w:rsid w:val="002B5B21"/>
    <w:rsid w:val="002C2D6D"/>
    <w:rsid w:val="002C2F8E"/>
    <w:rsid w:val="002D3C27"/>
    <w:rsid w:val="002D61E6"/>
    <w:rsid w:val="002E0402"/>
    <w:rsid w:val="002E359B"/>
    <w:rsid w:val="002E4F7A"/>
    <w:rsid w:val="002E56F3"/>
    <w:rsid w:val="002E750A"/>
    <w:rsid w:val="002E7BBF"/>
    <w:rsid w:val="002E7F58"/>
    <w:rsid w:val="002F15A8"/>
    <w:rsid w:val="002F5CEC"/>
    <w:rsid w:val="00300D55"/>
    <w:rsid w:val="003030FD"/>
    <w:rsid w:val="00312E8C"/>
    <w:rsid w:val="00313DA2"/>
    <w:rsid w:val="0031422B"/>
    <w:rsid w:val="00314E34"/>
    <w:rsid w:val="00315718"/>
    <w:rsid w:val="00321995"/>
    <w:rsid w:val="0033424C"/>
    <w:rsid w:val="00341E6F"/>
    <w:rsid w:val="003422E4"/>
    <w:rsid w:val="00343786"/>
    <w:rsid w:val="00345707"/>
    <w:rsid w:val="0036588D"/>
    <w:rsid w:val="00375E41"/>
    <w:rsid w:val="00377238"/>
    <w:rsid w:val="00381B1D"/>
    <w:rsid w:val="00384487"/>
    <w:rsid w:val="00387CCE"/>
    <w:rsid w:val="003900AB"/>
    <w:rsid w:val="00392A1F"/>
    <w:rsid w:val="0039313F"/>
    <w:rsid w:val="00393BB1"/>
    <w:rsid w:val="003A1273"/>
    <w:rsid w:val="003A7E47"/>
    <w:rsid w:val="003B454D"/>
    <w:rsid w:val="003B75A4"/>
    <w:rsid w:val="003C0376"/>
    <w:rsid w:val="003C4FE0"/>
    <w:rsid w:val="003D23F1"/>
    <w:rsid w:val="003E3101"/>
    <w:rsid w:val="003E391A"/>
    <w:rsid w:val="003E418E"/>
    <w:rsid w:val="00401504"/>
    <w:rsid w:val="00405212"/>
    <w:rsid w:val="00425C4E"/>
    <w:rsid w:val="00426168"/>
    <w:rsid w:val="00426F47"/>
    <w:rsid w:val="00431320"/>
    <w:rsid w:val="00432E39"/>
    <w:rsid w:val="00437BF1"/>
    <w:rsid w:val="00440798"/>
    <w:rsid w:val="0044099A"/>
    <w:rsid w:val="00442D73"/>
    <w:rsid w:val="0044681B"/>
    <w:rsid w:val="004475CA"/>
    <w:rsid w:val="004539D6"/>
    <w:rsid w:val="00454173"/>
    <w:rsid w:val="00457632"/>
    <w:rsid w:val="00457984"/>
    <w:rsid w:val="00463A78"/>
    <w:rsid w:val="00466AA0"/>
    <w:rsid w:val="00470D3C"/>
    <w:rsid w:val="00471421"/>
    <w:rsid w:val="00484EE6"/>
    <w:rsid w:val="00485349"/>
    <w:rsid w:val="0048633E"/>
    <w:rsid w:val="00486AC0"/>
    <w:rsid w:val="00486AE2"/>
    <w:rsid w:val="004873E7"/>
    <w:rsid w:val="00491905"/>
    <w:rsid w:val="004935FC"/>
    <w:rsid w:val="004A476C"/>
    <w:rsid w:val="004A4A82"/>
    <w:rsid w:val="004A567A"/>
    <w:rsid w:val="004A6C64"/>
    <w:rsid w:val="004A7218"/>
    <w:rsid w:val="004A7FDF"/>
    <w:rsid w:val="004B1B35"/>
    <w:rsid w:val="004B2424"/>
    <w:rsid w:val="004B4854"/>
    <w:rsid w:val="004B6ECF"/>
    <w:rsid w:val="004C0533"/>
    <w:rsid w:val="004C2B9F"/>
    <w:rsid w:val="004C2DB9"/>
    <w:rsid w:val="004C606F"/>
    <w:rsid w:val="004C7A03"/>
    <w:rsid w:val="004D16FD"/>
    <w:rsid w:val="004D2800"/>
    <w:rsid w:val="004D507C"/>
    <w:rsid w:val="004D5CBD"/>
    <w:rsid w:val="004E17CA"/>
    <w:rsid w:val="004E4E1A"/>
    <w:rsid w:val="004E57B0"/>
    <w:rsid w:val="004F1364"/>
    <w:rsid w:val="004F274C"/>
    <w:rsid w:val="004F67E4"/>
    <w:rsid w:val="005060EA"/>
    <w:rsid w:val="00506EBB"/>
    <w:rsid w:val="00513731"/>
    <w:rsid w:val="00513A7D"/>
    <w:rsid w:val="0051581E"/>
    <w:rsid w:val="005177C9"/>
    <w:rsid w:val="00525EA4"/>
    <w:rsid w:val="00537B3A"/>
    <w:rsid w:val="00540ECD"/>
    <w:rsid w:val="00544201"/>
    <w:rsid w:val="005538AE"/>
    <w:rsid w:val="005539D2"/>
    <w:rsid w:val="00563040"/>
    <w:rsid w:val="00564491"/>
    <w:rsid w:val="00564C6A"/>
    <w:rsid w:val="00571AED"/>
    <w:rsid w:val="00577A2B"/>
    <w:rsid w:val="00586231"/>
    <w:rsid w:val="00586FA0"/>
    <w:rsid w:val="00590694"/>
    <w:rsid w:val="005909B4"/>
    <w:rsid w:val="00591DE6"/>
    <w:rsid w:val="00592092"/>
    <w:rsid w:val="00593C31"/>
    <w:rsid w:val="005979AA"/>
    <w:rsid w:val="005A1545"/>
    <w:rsid w:val="005A1CD0"/>
    <w:rsid w:val="005A7628"/>
    <w:rsid w:val="005B04E5"/>
    <w:rsid w:val="005B20A9"/>
    <w:rsid w:val="005B2B0C"/>
    <w:rsid w:val="005B2BE8"/>
    <w:rsid w:val="005B5BB7"/>
    <w:rsid w:val="005C5A8F"/>
    <w:rsid w:val="005D5DF5"/>
    <w:rsid w:val="005E63FE"/>
    <w:rsid w:val="005E78E6"/>
    <w:rsid w:val="005F2589"/>
    <w:rsid w:val="005F27BD"/>
    <w:rsid w:val="005F3AD8"/>
    <w:rsid w:val="005F5AFF"/>
    <w:rsid w:val="005F7D38"/>
    <w:rsid w:val="005F7DFE"/>
    <w:rsid w:val="00603884"/>
    <w:rsid w:val="00603977"/>
    <w:rsid w:val="00606A13"/>
    <w:rsid w:val="006115F3"/>
    <w:rsid w:val="006117C2"/>
    <w:rsid w:val="0061661B"/>
    <w:rsid w:val="00620ED4"/>
    <w:rsid w:val="00622E3A"/>
    <w:rsid w:val="00624A03"/>
    <w:rsid w:val="0062525D"/>
    <w:rsid w:val="00631DB4"/>
    <w:rsid w:val="00634FCF"/>
    <w:rsid w:val="0064046A"/>
    <w:rsid w:val="00647353"/>
    <w:rsid w:val="00657A4B"/>
    <w:rsid w:val="00661FDF"/>
    <w:rsid w:val="00663048"/>
    <w:rsid w:val="006642B2"/>
    <w:rsid w:val="006648C2"/>
    <w:rsid w:val="006655E2"/>
    <w:rsid w:val="00665A5A"/>
    <w:rsid w:val="00674088"/>
    <w:rsid w:val="00675A6A"/>
    <w:rsid w:val="00686F85"/>
    <w:rsid w:val="00687A38"/>
    <w:rsid w:val="00692E61"/>
    <w:rsid w:val="00694013"/>
    <w:rsid w:val="00694496"/>
    <w:rsid w:val="006948ED"/>
    <w:rsid w:val="0069501B"/>
    <w:rsid w:val="006952A2"/>
    <w:rsid w:val="0069732E"/>
    <w:rsid w:val="006A48AE"/>
    <w:rsid w:val="006A59E7"/>
    <w:rsid w:val="006B08A8"/>
    <w:rsid w:val="006B0E7D"/>
    <w:rsid w:val="006B1BE3"/>
    <w:rsid w:val="006B4068"/>
    <w:rsid w:val="006B6D26"/>
    <w:rsid w:val="006B6D69"/>
    <w:rsid w:val="006B79F0"/>
    <w:rsid w:val="006C3B5C"/>
    <w:rsid w:val="006C4C44"/>
    <w:rsid w:val="006C7062"/>
    <w:rsid w:val="006C7126"/>
    <w:rsid w:val="006D0A91"/>
    <w:rsid w:val="006D333D"/>
    <w:rsid w:val="006D4E5F"/>
    <w:rsid w:val="006D628D"/>
    <w:rsid w:val="006D6902"/>
    <w:rsid w:val="006D7BE0"/>
    <w:rsid w:val="006F0398"/>
    <w:rsid w:val="006F2734"/>
    <w:rsid w:val="006F3750"/>
    <w:rsid w:val="006F4194"/>
    <w:rsid w:val="006F4ED1"/>
    <w:rsid w:val="006F563B"/>
    <w:rsid w:val="006F6A09"/>
    <w:rsid w:val="007018A5"/>
    <w:rsid w:val="00702E21"/>
    <w:rsid w:val="0070631F"/>
    <w:rsid w:val="007066D7"/>
    <w:rsid w:val="00706744"/>
    <w:rsid w:val="00716689"/>
    <w:rsid w:val="007202D6"/>
    <w:rsid w:val="0072084A"/>
    <w:rsid w:val="00720D3F"/>
    <w:rsid w:val="00727A78"/>
    <w:rsid w:val="00731002"/>
    <w:rsid w:val="00732906"/>
    <w:rsid w:val="0073587A"/>
    <w:rsid w:val="007420B7"/>
    <w:rsid w:val="00743B54"/>
    <w:rsid w:val="00746366"/>
    <w:rsid w:val="00746E1F"/>
    <w:rsid w:val="007512F2"/>
    <w:rsid w:val="0075202B"/>
    <w:rsid w:val="00754D07"/>
    <w:rsid w:val="00755850"/>
    <w:rsid w:val="00760B8C"/>
    <w:rsid w:val="007622FA"/>
    <w:rsid w:val="00762A01"/>
    <w:rsid w:val="00762E45"/>
    <w:rsid w:val="007646CF"/>
    <w:rsid w:val="00770D50"/>
    <w:rsid w:val="00773DDB"/>
    <w:rsid w:val="007742AA"/>
    <w:rsid w:val="00776380"/>
    <w:rsid w:val="00782F18"/>
    <w:rsid w:val="0078343D"/>
    <w:rsid w:val="00792609"/>
    <w:rsid w:val="007952BD"/>
    <w:rsid w:val="00795605"/>
    <w:rsid w:val="007A0046"/>
    <w:rsid w:val="007A2F74"/>
    <w:rsid w:val="007B0DF3"/>
    <w:rsid w:val="007B5B5E"/>
    <w:rsid w:val="007B5FA7"/>
    <w:rsid w:val="007B6997"/>
    <w:rsid w:val="007C5520"/>
    <w:rsid w:val="007C5D09"/>
    <w:rsid w:val="007C682A"/>
    <w:rsid w:val="007D183C"/>
    <w:rsid w:val="007D3B82"/>
    <w:rsid w:val="007D4E31"/>
    <w:rsid w:val="007F22AD"/>
    <w:rsid w:val="007F28C0"/>
    <w:rsid w:val="00800266"/>
    <w:rsid w:val="00801EA8"/>
    <w:rsid w:val="00805E9B"/>
    <w:rsid w:val="00807B90"/>
    <w:rsid w:val="00810EE3"/>
    <w:rsid w:val="008125D6"/>
    <w:rsid w:val="008140A5"/>
    <w:rsid w:val="008151F9"/>
    <w:rsid w:val="008163AD"/>
    <w:rsid w:val="00816643"/>
    <w:rsid w:val="00820070"/>
    <w:rsid w:val="00821494"/>
    <w:rsid w:val="008321F2"/>
    <w:rsid w:val="00833C31"/>
    <w:rsid w:val="00834B50"/>
    <w:rsid w:val="00840365"/>
    <w:rsid w:val="0084091C"/>
    <w:rsid w:val="00842842"/>
    <w:rsid w:val="00843FC1"/>
    <w:rsid w:val="008500B1"/>
    <w:rsid w:val="00850319"/>
    <w:rsid w:val="008530A2"/>
    <w:rsid w:val="00853788"/>
    <w:rsid w:val="00857FD8"/>
    <w:rsid w:val="00860ECF"/>
    <w:rsid w:val="0086140B"/>
    <w:rsid w:val="008635A3"/>
    <w:rsid w:val="0087010B"/>
    <w:rsid w:val="00872E80"/>
    <w:rsid w:val="008731F0"/>
    <w:rsid w:val="00883148"/>
    <w:rsid w:val="0089055E"/>
    <w:rsid w:val="00891CE4"/>
    <w:rsid w:val="0089471C"/>
    <w:rsid w:val="00894F43"/>
    <w:rsid w:val="00896019"/>
    <w:rsid w:val="008A19A1"/>
    <w:rsid w:val="008A257B"/>
    <w:rsid w:val="008A5DF6"/>
    <w:rsid w:val="008A7DD9"/>
    <w:rsid w:val="008A7F9F"/>
    <w:rsid w:val="008B0EE2"/>
    <w:rsid w:val="008B1CF2"/>
    <w:rsid w:val="008B2C1D"/>
    <w:rsid w:val="008B6871"/>
    <w:rsid w:val="008B7FC5"/>
    <w:rsid w:val="008C30D3"/>
    <w:rsid w:val="008C3244"/>
    <w:rsid w:val="008C48EC"/>
    <w:rsid w:val="008C7A7A"/>
    <w:rsid w:val="008C7D74"/>
    <w:rsid w:val="008D226D"/>
    <w:rsid w:val="008D27D7"/>
    <w:rsid w:val="008D7060"/>
    <w:rsid w:val="008E06D6"/>
    <w:rsid w:val="008E7503"/>
    <w:rsid w:val="008F0736"/>
    <w:rsid w:val="008F17E7"/>
    <w:rsid w:val="008F186E"/>
    <w:rsid w:val="008F1FDF"/>
    <w:rsid w:val="008F33B9"/>
    <w:rsid w:val="008F79A9"/>
    <w:rsid w:val="009001D1"/>
    <w:rsid w:val="00910DD5"/>
    <w:rsid w:val="00915768"/>
    <w:rsid w:val="009169C5"/>
    <w:rsid w:val="00916C00"/>
    <w:rsid w:val="00931996"/>
    <w:rsid w:val="009326BD"/>
    <w:rsid w:val="0093452E"/>
    <w:rsid w:val="009359C2"/>
    <w:rsid w:val="00940194"/>
    <w:rsid w:val="00943886"/>
    <w:rsid w:val="00944614"/>
    <w:rsid w:val="00955084"/>
    <w:rsid w:val="00956CAB"/>
    <w:rsid w:val="00960070"/>
    <w:rsid w:val="00961BF0"/>
    <w:rsid w:val="00964F16"/>
    <w:rsid w:val="00965FE4"/>
    <w:rsid w:val="00970168"/>
    <w:rsid w:val="00971466"/>
    <w:rsid w:val="0098013D"/>
    <w:rsid w:val="009817C4"/>
    <w:rsid w:val="00983D76"/>
    <w:rsid w:val="00990996"/>
    <w:rsid w:val="00990B5C"/>
    <w:rsid w:val="00992D44"/>
    <w:rsid w:val="00993C10"/>
    <w:rsid w:val="009A69AD"/>
    <w:rsid w:val="009B4655"/>
    <w:rsid w:val="009B518A"/>
    <w:rsid w:val="009B66AE"/>
    <w:rsid w:val="009B72BA"/>
    <w:rsid w:val="009C62E2"/>
    <w:rsid w:val="009D0774"/>
    <w:rsid w:val="009D30FA"/>
    <w:rsid w:val="009D3188"/>
    <w:rsid w:val="009D4CC0"/>
    <w:rsid w:val="009D793A"/>
    <w:rsid w:val="009E079F"/>
    <w:rsid w:val="009E6641"/>
    <w:rsid w:val="009F4ACF"/>
    <w:rsid w:val="00A027EF"/>
    <w:rsid w:val="00A06371"/>
    <w:rsid w:val="00A1357C"/>
    <w:rsid w:val="00A209C0"/>
    <w:rsid w:val="00A26BAA"/>
    <w:rsid w:val="00A31E97"/>
    <w:rsid w:val="00A37035"/>
    <w:rsid w:val="00A50AC7"/>
    <w:rsid w:val="00A51242"/>
    <w:rsid w:val="00A5342B"/>
    <w:rsid w:val="00A54CC8"/>
    <w:rsid w:val="00A54CFB"/>
    <w:rsid w:val="00A63017"/>
    <w:rsid w:val="00A64529"/>
    <w:rsid w:val="00A66A90"/>
    <w:rsid w:val="00A678E6"/>
    <w:rsid w:val="00A704F6"/>
    <w:rsid w:val="00A81681"/>
    <w:rsid w:val="00A84AC8"/>
    <w:rsid w:val="00A9199B"/>
    <w:rsid w:val="00A953BF"/>
    <w:rsid w:val="00A9544C"/>
    <w:rsid w:val="00AA1661"/>
    <w:rsid w:val="00AA236D"/>
    <w:rsid w:val="00AA3E43"/>
    <w:rsid w:val="00AB4999"/>
    <w:rsid w:val="00AC2118"/>
    <w:rsid w:val="00AC2BF4"/>
    <w:rsid w:val="00AC5C2F"/>
    <w:rsid w:val="00AC7251"/>
    <w:rsid w:val="00AD51F2"/>
    <w:rsid w:val="00AE4534"/>
    <w:rsid w:val="00AE536D"/>
    <w:rsid w:val="00AE6C02"/>
    <w:rsid w:val="00AF2CD7"/>
    <w:rsid w:val="00AF7D5A"/>
    <w:rsid w:val="00B04768"/>
    <w:rsid w:val="00B1086A"/>
    <w:rsid w:val="00B12326"/>
    <w:rsid w:val="00B15788"/>
    <w:rsid w:val="00B224F8"/>
    <w:rsid w:val="00B247CC"/>
    <w:rsid w:val="00B24C2F"/>
    <w:rsid w:val="00B256C6"/>
    <w:rsid w:val="00B3703C"/>
    <w:rsid w:val="00B375DF"/>
    <w:rsid w:val="00B44992"/>
    <w:rsid w:val="00B44ED3"/>
    <w:rsid w:val="00B4550F"/>
    <w:rsid w:val="00B55370"/>
    <w:rsid w:val="00B67AC8"/>
    <w:rsid w:val="00B7273E"/>
    <w:rsid w:val="00B728EF"/>
    <w:rsid w:val="00B729CF"/>
    <w:rsid w:val="00B73EDE"/>
    <w:rsid w:val="00B74E08"/>
    <w:rsid w:val="00B74F51"/>
    <w:rsid w:val="00B7551C"/>
    <w:rsid w:val="00B81871"/>
    <w:rsid w:val="00B87746"/>
    <w:rsid w:val="00B87ADA"/>
    <w:rsid w:val="00B96F0F"/>
    <w:rsid w:val="00BB4103"/>
    <w:rsid w:val="00BB41FF"/>
    <w:rsid w:val="00BB6AD0"/>
    <w:rsid w:val="00BB6F54"/>
    <w:rsid w:val="00BB76A1"/>
    <w:rsid w:val="00BC1778"/>
    <w:rsid w:val="00BD0DD3"/>
    <w:rsid w:val="00BD2AD9"/>
    <w:rsid w:val="00BE34D4"/>
    <w:rsid w:val="00BE49B2"/>
    <w:rsid w:val="00BE6671"/>
    <w:rsid w:val="00BF0B02"/>
    <w:rsid w:val="00BF1931"/>
    <w:rsid w:val="00BF2773"/>
    <w:rsid w:val="00BF5159"/>
    <w:rsid w:val="00C01A02"/>
    <w:rsid w:val="00C032B0"/>
    <w:rsid w:val="00C10B54"/>
    <w:rsid w:val="00C176FD"/>
    <w:rsid w:val="00C212CD"/>
    <w:rsid w:val="00C23582"/>
    <w:rsid w:val="00C23A76"/>
    <w:rsid w:val="00C24A6A"/>
    <w:rsid w:val="00C25DFE"/>
    <w:rsid w:val="00C263BE"/>
    <w:rsid w:val="00C3313B"/>
    <w:rsid w:val="00C36F0D"/>
    <w:rsid w:val="00C453AE"/>
    <w:rsid w:val="00C45DC7"/>
    <w:rsid w:val="00C460F2"/>
    <w:rsid w:val="00C51945"/>
    <w:rsid w:val="00C51BC9"/>
    <w:rsid w:val="00C53236"/>
    <w:rsid w:val="00C5516A"/>
    <w:rsid w:val="00C57D64"/>
    <w:rsid w:val="00C71533"/>
    <w:rsid w:val="00C72F94"/>
    <w:rsid w:val="00C731EE"/>
    <w:rsid w:val="00C748B4"/>
    <w:rsid w:val="00C84854"/>
    <w:rsid w:val="00C86839"/>
    <w:rsid w:val="00C97066"/>
    <w:rsid w:val="00C97BC0"/>
    <w:rsid w:val="00CA364D"/>
    <w:rsid w:val="00CA534D"/>
    <w:rsid w:val="00CB1477"/>
    <w:rsid w:val="00CB5A7A"/>
    <w:rsid w:val="00CB7CBD"/>
    <w:rsid w:val="00CC32A7"/>
    <w:rsid w:val="00CC3E28"/>
    <w:rsid w:val="00CC40B7"/>
    <w:rsid w:val="00CD0DCA"/>
    <w:rsid w:val="00CD1737"/>
    <w:rsid w:val="00CD394E"/>
    <w:rsid w:val="00CD4C1B"/>
    <w:rsid w:val="00CD6F78"/>
    <w:rsid w:val="00CE5DBD"/>
    <w:rsid w:val="00CE72FA"/>
    <w:rsid w:val="00CF2FCC"/>
    <w:rsid w:val="00CF3617"/>
    <w:rsid w:val="00D02736"/>
    <w:rsid w:val="00D036BF"/>
    <w:rsid w:val="00D0409D"/>
    <w:rsid w:val="00D10CA8"/>
    <w:rsid w:val="00D1274A"/>
    <w:rsid w:val="00D1471F"/>
    <w:rsid w:val="00D20D3E"/>
    <w:rsid w:val="00D273B4"/>
    <w:rsid w:val="00D313FB"/>
    <w:rsid w:val="00D339EF"/>
    <w:rsid w:val="00D3534A"/>
    <w:rsid w:val="00D404CE"/>
    <w:rsid w:val="00D41127"/>
    <w:rsid w:val="00D42526"/>
    <w:rsid w:val="00D47007"/>
    <w:rsid w:val="00D47F8D"/>
    <w:rsid w:val="00D514CA"/>
    <w:rsid w:val="00D5381A"/>
    <w:rsid w:val="00D54274"/>
    <w:rsid w:val="00D558AB"/>
    <w:rsid w:val="00D648B2"/>
    <w:rsid w:val="00D7130B"/>
    <w:rsid w:val="00D7372B"/>
    <w:rsid w:val="00D74DD8"/>
    <w:rsid w:val="00D779A9"/>
    <w:rsid w:val="00D77AFD"/>
    <w:rsid w:val="00D77B90"/>
    <w:rsid w:val="00D824C6"/>
    <w:rsid w:val="00D82FD1"/>
    <w:rsid w:val="00D83037"/>
    <w:rsid w:val="00D83F8E"/>
    <w:rsid w:val="00D94458"/>
    <w:rsid w:val="00D95113"/>
    <w:rsid w:val="00DA7FAE"/>
    <w:rsid w:val="00DC09B8"/>
    <w:rsid w:val="00DC5C34"/>
    <w:rsid w:val="00DD5583"/>
    <w:rsid w:val="00DD61BC"/>
    <w:rsid w:val="00DD74AE"/>
    <w:rsid w:val="00DD785C"/>
    <w:rsid w:val="00DE2479"/>
    <w:rsid w:val="00DE4C26"/>
    <w:rsid w:val="00DF11C3"/>
    <w:rsid w:val="00DF3CF0"/>
    <w:rsid w:val="00DF59BE"/>
    <w:rsid w:val="00DF5B63"/>
    <w:rsid w:val="00E07EC5"/>
    <w:rsid w:val="00E14B4A"/>
    <w:rsid w:val="00E15512"/>
    <w:rsid w:val="00E33BD4"/>
    <w:rsid w:val="00E33BFC"/>
    <w:rsid w:val="00E33DF9"/>
    <w:rsid w:val="00E458F9"/>
    <w:rsid w:val="00E53D59"/>
    <w:rsid w:val="00E546FE"/>
    <w:rsid w:val="00E54A2D"/>
    <w:rsid w:val="00E57202"/>
    <w:rsid w:val="00E65BEF"/>
    <w:rsid w:val="00E664F1"/>
    <w:rsid w:val="00E73BCF"/>
    <w:rsid w:val="00E9588F"/>
    <w:rsid w:val="00EB4D8D"/>
    <w:rsid w:val="00EB641D"/>
    <w:rsid w:val="00EB75E3"/>
    <w:rsid w:val="00ED4108"/>
    <w:rsid w:val="00ED5D69"/>
    <w:rsid w:val="00EE3A52"/>
    <w:rsid w:val="00EE3DF2"/>
    <w:rsid w:val="00EF3609"/>
    <w:rsid w:val="00EF37ED"/>
    <w:rsid w:val="00EF4467"/>
    <w:rsid w:val="00F0035E"/>
    <w:rsid w:val="00F00D95"/>
    <w:rsid w:val="00F01661"/>
    <w:rsid w:val="00F06727"/>
    <w:rsid w:val="00F30DF8"/>
    <w:rsid w:val="00F3662D"/>
    <w:rsid w:val="00F41E2B"/>
    <w:rsid w:val="00F44C44"/>
    <w:rsid w:val="00F52A7E"/>
    <w:rsid w:val="00F62576"/>
    <w:rsid w:val="00F672CF"/>
    <w:rsid w:val="00F726D6"/>
    <w:rsid w:val="00F73495"/>
    <w:rsid w:val="00F74644"/>
    <w:rsid w:val="00F76F46"/>
    <w:rsid w:val="00F801AA"/>
    <w:rsid w:val="00F824A6"/>
    <w:rsid w:val="00F84184"/>
    <w:rsid w:val="00F84449"/>
    <w:rsid w:val="00F96ADA"/>
    <w:rsid w:val="00FA5E4D"/>
    <w:rsid w:val="00FA5F8E"/>
    <w:rsid w:val="00FB022C"/>
    <w:rsid w:val="00FB1A00"/>
    <w:rsid w:val="00FB29B4"/>
    <w:rsid w:val="00FB767B"/>
    <w:rsid w:val="00FB7F08"/>
    <w:rsid w:val="00FC5109"/>
    <w:rsid w:val="00FD0BB3"/>
    <w:rsid w:val="00FD258D"/>
    <w:rsid w:val="00FD54A5"/>
    <w:rsid w:val="00FD71A8"/>
    <w:rsid w:val="00FE583D"/>
    <w:rsid w:val="00FE6A61"/>
    <w:rsid w:val="00FF313D"/>
    <w:rsid w:val="00FF37B2"/>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77B0"/>
  <w15:docId w15:val="{45074EA8-8E83-4F90-9209-894A7BFF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18A"/>
    <w:rPr>
      <w:rFonts w:ascii="Tahoma" w:hAnsi="Tahoma" w:cs="Tahoma"/>
      <w:sz w:val="16"/>
      <w:szCs w:val="16"/>
    </w:rPr>
  </w:style>
  <w:style w:type="character" w:styleId="Hyperlink">
    <w:name w:val="Hyperlink"/>
    <w:uiPriority w:val="99"/>
    <w:unhideWhenUsed/>
    <w:rsid w:val="006A59E7"/>
    <w:rPr>
      <w:color w:val="0000FF"/>
      <w:u w:val="single"/>
    </w:rPr>
  </w:style>
  <w:style w:type="paragraph" w:styleId="BodyText">
    <w:name w:val="Body Text"/>
    <w:basedOn w:val="Normal"/>
    <w:link w:val="BodyTextChar"/>
    <w:uiPriority w:val="1"/>
    <w:unhideWhenUsed/>
    <w:qFormat/>
    <w:rsid w:val="006A59E7"/>
    <w:pPr>
      <w:jc w:val="center"/>
    </w:pPr>
    <w:rPr>
      <w:b/>
      <w:bCs/>
      <w:sz w:val="40"/>
    </w:rPr>
  </w:style>
  <w:style w:type="character" w:customStyle="1" w:styleId="BodyTextChar">
    <w:name w:val="Body Text Char"/>
    <w:link w:val="BodyText"/>
    <w:uiPriority w:val="1"/>
    <w:rsid w:val="006A59E7"/>
    <w:rPr>
      <w:b/>
      <w:bCs/>
      <w:sz w:val="40"/>
      <w:szCs w:val="24"/>
    </w:rPr>
  </w:style>
  <w:style w:type="numbering" w:customStyle="1" w:styleId="NoList1">
    <w:name w:val="No List1"/>
    <w:next w:val="NoList"/>
    <w:uiPriority w:val="99"/>
    <w:semiHidden/>
    <w:unhideWhenUsed/>
    <w:rsid w:val="00AD51F2"/>
  </w:style>
  <w:style w:type="paragraph" w:styleId="ListParagraph">
    <w:name w:val="List Paragraph"/>
    <w:basedOn w:val="Normal"/>
    <w:uiPriority w:val="1"/>
    <w:qFormat/>
    <w:rsid w:val="00AD51F2"/>
    <w:pPr>
      <w:autoSpaceDE w:val="0"/>
      <w:autoSpaceDN w:val="0"/>
      <w:adjustRightInd w:val="0"/>
    </w:pPr>
  </w:style>
  <w:style w:type="paragraph" w:customStyle="1" w:styleId="TableParagraph">
    <w:name w:val="Table Paragraph"/>
    <w:basedOn w:val="Normal"/>
    <w:uiPriority w:val="1"/>
    <w:qFormat/>
    <w:rsid w:val="00AD51F2"/>
    <w:pPr>
      <w:autoSpaceDE w:val="0"/>
      <w:autoSpaceDN w:val="0"/>
      <w:adjustRightInd w:val="0"/>
    </w:pPr>
  </w:style>
  <w:style w:type="numbering" w:customStyle="1" w:styleId="NoList2">
    <w:name w:val="No List2"/>
    <w:next w:val="NoList"/>
    <w:uiPriority w:val="99"/>
    <w:semiHidden/>
    <w:unhideWhenUsed/>
    <w:rsid w:val="005C5A8F"/>
  </w:style>
  <w:style w:type="character" w:styleId="PlaceholderText">
    <w:name w:val="Placeholder Text"/>
    <w:basedOn w:val="DefaultParagraphFont"/>
    <w:uiPriority w:val="99"/>
    <w:semiHidden/>
    <w:rsid w:val="002D3C27"/>
    <w:rPr>
      <w:color w:val="808080"/>
    </w:rPr>
  </w:style>
  <w:style w:type="table" w:styleId="TableGrid">
    <w:name w:val="Table Grid"/>
    <w:basedOn w:val="TableNormal"/>
    <w:rsid w:val="00564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779A9"/>
    <w:rPr>
      <w:color w:val="800080" w:themeColor="followedHyperlink"/>
      <w:u w:val="single"/>
    </w:rPr>
  </w:style>
  <w:style w:type="character" w:styleId="CommentReference">
    <w:name w:val="annotation reference"/>
    <w:basedOn w:val="DefaultParagraphFont"/>
    <w:semiHidden/>
    <w:unhideWhenUsed/>
    <w:rsid w:val="00702E21"/>
    <w:rPr>
      <w:sz w:val="16"/>
      <w:szCs w:val="16"/>
    </w:rPr>
  </w:style>
  <w:style w:type="paragraph" w:styleId="CommentText">
    <w:name w:val="annotation text"/>
    <w:basedOn w:val="Normal"/>
    <w:link w:val="CommentTextChar"/>
    <w:semiHidden/>
    <w:unhideWhenUsed/>
    <w:rsid w:val="00702E21"/>
    <w:rPr>
      <w:sz w:val="20"/>
      <w:szCs w:val="20"/>
    </w:rPr>
  </w:style>
  <w:style w:type="character" w:customStyle="1" w:styleId="CommentTextChar">
    <w:name w:val="Comment Text Char"/>
    <w:basedOn w:val="DefaultParagraphFont"/>
    <w:link w:val="CommentText"/>
    <w:semiHidden/>
    <w:rsid w:val="00702E21"/>
  </w:style>
  <w:style w:type="paragraph" w:styleId="CommentSubject">
    <w:name w:val="annotation subject"/>
    <w:basedOn w:val="CommentText"/>
    <w:next w:val="CommentText"/>
    <w:link w:val="CommentSubjectChar"/>
    <w:semiHidden/>
    <w:unhideWhenUsed/>
    <w:rsid w:val="00702E21"/>
    <w:rPr>
      <w:b/>
      <w:bCs/>
    </w:rPr>
  </w:style>
  <w:style w:type="character" w:customStyle="1" w:styleId="CommentSubjectChar">
    <w:name w:val="Comment Subject Char"/>
    <w:basedOn w:val="CommentTextChar"/>
    <w:link w:val="CommentSubject"/>
    <w:semiHidden/>
    <w:rsid w:val="00702E21"/>
    <w:rPr>
      <w:b/>
      <w:bCs/>
    </w:rPr>
  </w:style>
  <w:style w:type="paragraph" w:styleId="EndnoteText">
    <w:name w:val="endnote text"/>
    <w:basedOn w:val="Normal"/>
    <w:link w:val="EndnoteTextChar"/>
    <w:semiHidden/>
    <w:unhideWhenUsed/>
    <w:rsid w:val="00D648B2"/>
    <w:rPr>
      <w:sz w:val="20"/>
      <w:szCs w:val="20"/>
    </w:rPr>
  </w:style>
  <w:style w:type="character" w:customStyle="1" w:styleId="EndnoteTextChar">
    <w:name w:val="Endnote Text Char"/>
    <w:basedOn w:val="DefaultParagraphFont"/>
    <w:link w:val="EndnoteText"/>
    <w:semiHidden/>
    <w:rsid w:val="00D648B2"/>
  </w:style>
  <w:style w:type="character" w:styleId="EndnoteReference">
    <w:name w:val="endnote reference"/>
    <w:basedOn w:val="DefaultParagraphFont"/>
    <w:semiHidden/>
    <w:unhideWhenUsed/>
    <w:rsid w:val="00D648B2"/>
    <w:rPr>
      <w:vertAlign w:val="superscript"/>
    </w:rPr>
  </w:style>
  <w:style w:type="paragraph" w:styleId="FootnoteText">
    <w:name w:val="footnote text"/>
    <w:basedOn w:val="Normal"/>
    <w:link w:val="FootnoteTextChar"/>
    <w:semiHidden/>
    <w:unhideWhenUsed/>
    <w:rsid w:val="00D648B2"/>
    <w:rPr>
      <w:sz w:val="20"/>
      <w:szCs w:val="20"/>
    </w:rPr>
  </w:style>
  <w:style w:type="character" w:customStyle="1" w:styleId="FootnoteTextChar">
    <w:name w:val="Footnote Text Char"/>
    <w:basedOn w:val="DefaultParagraphFont"/>
    <w:link w:val="FootnoteText"/>
    <w:semiHidden/>
    <w:rsid w:val="00D648B2"/>
  </w:style>
  <w:style w:type="character" w:styleId="FootnoteReference">
    <w:name w:val="footnote reference"/>
    <w:basedOn w:val="DefaultParagraphFont"/>
    <w:semiHidden/>
    <w:unhideWhenUsed/>
    <w:rsid w:val="00D648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0496">
      <w:bodyDiv w:val="1"/>
      <w:marLeft w:val="0"/>
      <w:marRight w:val="0"/>
      <w:marTop w:val="0"/>
      <w:marBottom w:val="0"/>
      <w:divBdr>
        <w:top w:val="none" w:sz="0" w:space="0" w:color="auto"/>
        <w:left w:val="none" w:sz="0" w:space="0" w:color="auto"/>
        <w:bottom w:val="none" w:sz="0" w:space="0" w:color="auto"/>
        <w:right w:val="none" w:sz="0" w:space="0" w:color="auto"/>
      </w:divBdr>
    </w:div>
    <w:div w:id="317921173">
      <w:bodyDiv w:val="1"/>
      <w:marLeft w:val="0"/>
      <w:marRight w:val="0"/>
      <w:marTop w:val="0"/>
      <w:marBottom w:val="0"/>
      <w:divBdr>
        <w:top w:val="none" w:sz="0" w:space="0" w:color="auto"/>
        <w:left w:val="none" w:sz="0" w:space="0" w:color="auto"/>
        <w:bottom w:val="none" w:sz="0" w:space="0" w:color="auto"/>
        <w:right w:val="none" w:sz="0" w:space="0" w:color="auto"/>
      </w:divBdr>
    </w:div>
    <w:div w:id="340855525">
      <w:bodyDiv w:val="1"/>
      <w:marLeft w:val="0"/>
      <w:marRight w:val="0"/>
      <w:marTop w:val="0"/>
      <w:marBottom w:val="0"/>
      <w:divBdr>
        <w:top w:val="none" w:sz="0" w:space="0" w:color="auto"/>
        <w:left w:val="none" w:sz="0" w:space="0" w:color="auto"/>
        <w:bottom w:val="none" w:sz="0" w:space="0" w:color="auto"/>
        <w:right w:val="none" w:sz="0" w:space="0" w:color="auto"/>
      </w:divBdr>
    </w:div>
    <w:div w:id="579410932">
      <w:bodyDiv w:val="1"/>
      <w:marLeft w:val="0"/>
      <w:marRight w:val="0"/>
      <w:marTop w:val="0"/>
      <w:marBottom w:val="0"/>
      <w:divBdr>
        <w:top w:val="none" w:sz="0" w:space="0" w:color="auto"/>
        <w:left w:val="none" w:sz="0" w:space="0" w:color="auto"/>
        <w:bottom w:val="none" w:sz="0" w:space="0" w:color="auto"/>
        <w:right w:val="none" w:sz="0" w:space="0" w:color="auto"/>
      </w:divBdr>
    </w:div>
    <w:div w:id="707951496">
      <w:bodyDiv w:val="1"/>
      <w:marLeft w:val="0"/>
      <w:marRight w:val="0"/>
      <w:marTop w:val="0"/>
      <w:marBottom w:val="0"/>
      <w:divBdr>
        <w:top w:val="none" w:sz="0" w:space="0" w:color="auto"/>
        <w:left w:val="none" w:sz="0" w:space="0" w:color="auto"/>
        <w:bottom w:val="none" w:sz="0" w:space="0" w:color="auto"/>
        <w:right w:val="none" w:sz="0" w:space="0" w:color="auto"/>
      </w:divBdr>
    </w:div>
    <w:div w:id="820582319">
      <w:bodyDiv w:val="1"/>
      <w:marLeft w:val="0"/>
      <w:marRight w:val="0"/>
      <w:marTop w:val="0"/>
      <w:marBottom w:val="0"/>
      <w:divBdr>
        <w:top w:val="none" w:sz="0" w:space="0" w:color="auto"/>
        <w:left w:val="none" w:sz="0" w:space="0" w:color="auto"/>
        <w:bottom w:val="none" w:sz="0" w:space="0" w:color="auto"/>
        <w:right w:val="none" w:sz="0" w:space="0" w:color="auto"/>
      </w:divBdr>
    </w:div>
    <w:div w:id="918364961">
      <w:bodyDiv w:val="1"/>
      <w:marLeft w:val="0"/>
      <w:marRight w:val="0"/>
      <w:marTop w:val="0"/>
      <w:marBottom w:val="0"/>
      <w:divBdr>
        <w:top w:val="none" w:sz="0" w:space="0" w:color="auto"/>
        <w:left w:val="none" w:sz="0" w:space="0" w:color="auto"/>
        <w:bottom w:val="none" w:sz="0" w:space="0" w:color="auto"/>
        <w:right w:val="none" w:sz="0" w:space="0" w:color="auto"/>
      </w:divBdr>
    </w:div>
    <w:div w:id="959841975">
      <w:bodyDiv w:val="1"/>
      <w:marLeft w:val="0"/>
      <w:marRight w:val="0"/>
      <w:marTop w:val="0"/>
      <w:marBottom w:val="0"/>
      <w:divBdr>
        <w:top w:val="none" w:sz="0" w:space="0" w:color="auto"/>
        <w:left w:val="none" w:sz="0" w:space="0" w:color="auto"/>
        <w:bottom w:val="none" w:sz="0" w:space="0" w:color="auto"/>
        <w:right w:val="none" w:sz="0" w:space="0" w:color="auto"/>
      </w:divBdr>
    </w:div>
    <w:div w:id="972247499">
      <w:bodyDiv w:val="1"/>
      <w:marLeft w:val="0"/>
      <w:marRight w:val="0"/>
      <w:marTop w:val="0"/>
      <w:marBottom w:val="0"/>
      <w:divBdr>
        <w:top w:val="none" w:sz="0" w:space="0" w:color="auto"/>
        <w:left w:val="none" w:sz="0" w:space="0" w:color="auto"/>
        <w:bottom w:val="none" w:sz="0" w:space="0" w:color="auto"/>
        <w:right w:val="none" w:sz="0" w:space="0" w:color="auto"/>
      </w:divBdr>
    </w:div>
    <w:div w:id="1082291304">
      <w:bodyDiv w:val="1"/>
      <w:marLeft w:val="0"/>
      <w:marRight w:val="0"/>
      <w:marTop w:val="0"/>
      <w:marBottom w:val="0"/>
      <w:divBdr>
        <w:top w:val="none" w:sz="0" w:space="0" w:color="auto"/>
        <w:left w:val="none" w:sz="0" w:space="0" w:color="auto"/>
        <w:bottom w:val="none" w:sz="0" w:space="0" w:color="auto"/>
        <w:right w:val="none" w:sz="0" w:space="0" w:color="auto"/>
      </w:divBdr>
    </w:div>
    <w:div w:id="18788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rn.com/abstract=35860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eaton@mit.edu" TargetMode="External"/><Relationship Id="rId5" Type="http://schemas.openxmlformats.org/officeDocument/2006/relationships/numbering" Target="numbering.xml"/><Relationship Id="rId15" Type="http://schemas.openxmlformats.org/officeDocument/2006/relationships/hyperlink" Target="https://www.nytimes.com/2020/04/12/us/coronavirus-biogen-boston-superspreader.html" TargetMode="Externa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FD2E3B41FF24FBA2591C25A8053E6" ma:contentTypeVersion="13" ma:contentTypeDescription="Create a new document." ma:contentTypeScope="" ma:versionID="df8b1714d3f48172ddceaef4e18a09a8">
  <xsd:schema xmlns:xsd="http://www.w3.org/2001/XMLSchema" xmlns:xs="http://www.w3.org/2001/XMLSchema" xmlns:p="http://schemas.microsoft.com/office/2006/metadata/properties" xmlns:ns3="abe24e83-4f15-4d0c-85b8-125cb34f75f8" xmlns:ns4="5312d416-2c34-43f2-b64a-e9cd54da0690" targetNamespace="http://schemas.microsoft.com/office/2006/metadata/properties" ma:root="true" ma:fieldsID="07f53de8d559b2c42c3fdcd409ffdae5" ns3:_="" ns4:_="">
    <xsd:import namespace="abe24e83-4f15-4d0c-85b8-125cb34f75f8"/>
    <xsd:import namespace="5312d416-2c34-43f2-b64a-e9cd54da0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24e83-4f15-4d0c-85b8-125cb34f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2d416-2c34-43f2-b64a-e9cd54da06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2A77-CA4A-4C35-A78C-D70C27D64C52}">
  <ds:schemaRefs>
    <ds:schemaRef ds:uri="http://schemas.microsoft.com/sharepoint/v3/contenttype/forms"/>
  </ds:schemaRefs>
</ds:datastoreItem>
</file>

<file path=customXml/itemProps2.xml><?xml version="1.0" encoding="utf-8"?>
<ds:datastoreItem xmlns:ds="http://schemas.openxmlformats.org/officeDocument/2006/customXml" ds:itemID="{68F381EC-3761-4B65-8A37-6CF386865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BD2749-BE23-41EF-8710-56DE0383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24e83-4f15-4d0c-85b8-125cb34f75f8"/>
    <ds:schemaRef ds:uri="5312d416-2c34-43f2-b64a-e9cd54da0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EB415-75F2-4B7D-8DFD-8AFC4EF2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Client Conference</vt:lpstr>
    </vt:vector>
  </TitlesOfParts>
  <Company>CBRE - Torto Wheaton Research</Company>
  <LinksUpToDate>false</LinksUpToDate>
  <CharactersWithSpaces>12887</CharactersWithSpaces>
  <SharedDoc>false</SharedDoc>
  <HLinks>
    <vt:vector size="30" baseType="variant">
      <vt:variant>
        <vt:i4>3276920</vt:i4>
      </vt:variant>
      <vt:variant>
        <vt:i4>15</vt:i4>
      </vt:variant>
      <vt:variant>
        <vt:i4>0</vt:i4>
      </vt:variant>
      <vt:variant>
        <vt:i4>5</vt:i4>
      </vt:variant>
      <vt:variant>
        <vt:lpwstr>http://www.pewinternet.org/2017/10/04/automation-in-everyday-life/</vt:lpwstr>
      </vt:variant>
      <vt:variant>
        <vt:lpwstr/>
      </vt:variant>
      <vt:variant>
        <vt:i4>4718686</vt:i4>
      </vt:variant>
      <vt:variant>
        <vt:i4>12</vt:i4>
      </vt:variant>
      <vt:variant>
        <vt:i4>0</vt:i4>
      </vt:variant>
      <vt:variant>
        <vt:i4>5</vt:i4>
      </vt:variant>
      <vt:variant>
        <vt:lpwstr>http://www.mckinsey.com/</vt:lpwstr>
      </vt:variant>
      <vt:variant>
        <vt:lpwstr/>
      </vt:variant>
      <vt:variant>
        <vt:i4>4980739</vt:i4>
      </vt:variant>
      <vt:variant>
        <vt:i4>9</vt:i4>
      </vt:variant>
      <vt:variant>
        <vt:i4>0</vt:i4>
      </vt:variant>
      <vt:variant>
        <vt:i4>5</vt:i4>
      </vt:variant>
      <vt:variant>
        <vt:lpwstr>http://www.themanufacturinginstitute.org/</vt:lpwstr>
      </vt:variant>
      <vt:variant>
        <vt:lpwstr/>
      </vt:variant>
      <vt:variant>
        <vt:i4>2818153</vt:i4>
      </vt:variant>
      <vt:variant>
        <vt:i4>6</vt:i4>
      </vt:variant>
      <vt:variant>
        <vt:i4>0</vt:i4>
      </vt:variant>
      <vt:variant>
        <vt:i4>5</vt:i4>
      </vt:variant>
      <vt:variant>
        <vt:lpwstr>http://www.aei.org/</vt:lpwstr>
      </vt:variant>
      <vt:variant>
        <vt:lpwstr/>
      </vt:variant>
      <vt:variant>
        <vt:i4>6488143</vt:i4>
      </vt:variant>
      <vt:variant>
        <vt:i4>0</vt:i4>
      </vt:variant>
      <vt:variant>
        <vt:i4>0</vt:i4>
      </vt:variant>
      <vt:variant>
        <vt:i4>5</vt:i4>
      </vt:variant>
      <vt:variant>
        <vt:lpwstr>mailto:wheaton@mit.edu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Conference</dc:title>
  <dc:creator>bvarughese</dc:creator>
  <cp:lastModifiedBy>william wheaton</cp:lastModifiedBy>
  <cp:revision>42</cp:revision>
  <cp:lastPrinted>2020-05-22T13:24:00Z</cp:lastPrinted>
  <dcterms:created xsi:type="dcterms:W3CDTF">2020-04-06T20:25:00Z</dcterms:created>
  <dcterms:modified xsi:type="dcterms:W3CDTF">2020-06-28T13:43:00Z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0x010100420FD2E3B41FF24FBA2591C25A8053E6</vt:lpwstr>
  </property>
</Properties>
</file>