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C75C5" w14:textId="77777777" w:rsidR="00F74644" w:rsidRDefault="00F74644" w:rsidP="006A59E7">
      <w:pPr>
        <w:rPr>
          <w:b/>
        </w:rPr>
      </w:pPr>
      <w:bookmarkStart w:id="0" w:name="_GoBack"/>
      <w:bookmarkEnd w:id="0"/>
    </w:p>
    <w:p w14:paraId="47CED2D8" w14:textId="77777777" w:rsidR="00F74644" w:rsidRDefault="00F74644" w:rsidP="006A59E7">
      <w:pPr>
        <w:rPr>
          <w:b/>
        </w:rPr>
      </w:pPr>
    </w:p>
    <w:p w14:paraId="647B7EDC" w14:textId="29AB50DA" w:rsidR="004D507C" w:rsidRDefault="007D4E31" w:rsidP="004D507C">
      <w:r>
        <w:rPr>
          <w:b/>
        </w:rPr>
        <w:t>2nd</w:t>
      </w:r>
      <w:r w:rsidR="00872E80">
        <w:rPr>
          <w:b/>
        </w:rPr>
        <w:t xml:space="preserve"> </w:t>
      </w:r>
      <w:r w:rsidR="006A59E7">
        <w:rPr>
          <w:b/>
        </w:rPr>
        <w:t>Draft</w:t>
      </w:r>
      <w:r w:rsidR="006A59E7">
        <w:t xml:space="preserve">:  </w:t>
      </w:r>
      <w:r w:rsidR="00A704F6">
        <w:t>4</w:t>
      </w:r>
      <w:r w:rsidR="001F4521">
        <w:t>/</w:t>
      </w:r>
      <w:r w:rsidR="00A704F6">
        <w:t>0</w:t>
      </w:r>
      <w:r>
        <w:t>6</w:t>
      </w:r>
      <w:r w:rsidR="001F4521">
        <w:t>/2020</w:t>
      </w:r>
    </w:p>
    <w:p w14:paraId="70BEA851" w14:textId="77777777" w:rsidR="004D507C" w:rsidRDefault="004D507C" w:rsidP="004D507C"/>
    <w:p w14:paraId="5D4C28EE" w14:textId="5D621D5A" w:rsidR="006115F3" w:rsidRDefault="004D507C" w:rsidP="004D507C">
      <w:pPr>
        <w:jc w:val="center"/>
        <w:rPr>
          <w:sz w:val="36"/>
          <w:szCs w:val="36"/>
        </w:rPr>
      </w:pPr>
      <w:r>
        <w:rPr>
          <w:sz w:val="36"/>
          <w:szCs w:val="36"/>
        </w:rPr>
        <w:t xml:space="preserve">The Geography of </w:t>
      </w:r>
      <w:r w:rsidR="005E63FE">
        <w:rPr>
          <w:sz w:val="36"/>
          <w:szCs w:val="36"/>
        </w:rPr>
        <w:t>Covid-19</w:t>
      </w:r>
      <w:r>
        <w:rPr>
          <w:sz w:val="36"/>
          <w:szCs w:val="36"/>
        </w:rPr>
        <w:t xml:space="preserve"> </w:t>
      </w:r>
      <w:r w:rsidR="00A704F6">
        <w:rPr>
          <w:sz w:val="36"/>
          <w:szCs w:val="36"/>
        </w:rPr>
        <w:t>growth i</w:t>
      </w:r>
      <w:r>
        <w:rPr>
          <w:sz w:val="36"/>
          <w:szCs w:val="36"/>
        </w:rPr>
        <w:t>n</w:t>
      </w:r>
      <w:r w:rsidR="0026327D">
        <w:rPr>
          <w:sz w:val="36"/>
          <w:szCs w:val="36"/>
        </w:rPr>
        <w:t xml:space="preserve"> </w:t>
      </w:r>
      <w:r w:rsidR="006115F3">
        <w:rPr>
          <w:sz w:val="36"/>
          <w:szCs w:val="36"/>
        </w:rPr>
        <w:t xml:space="preserve">the </w:t>
      </w:r>
      <w:r>
        <w:rPr>
          <w:sz w:val="36"/>
          <w:szCs w:val="36"/>
        </w:rPr>
        <w:t>US:</w:t>
      </w:r>
    </w:p>
    <w:p w14:paraId="4DCB15E4" w14:textId="77777777" w:rsidR="006A59E7" w:rsidRPr="004D507C" w:rsidRDefault="004D507C" w:rsidP="004D507C">
      <w:pPr>
        <w:jc w:val="center"/>
      </w:pPr>
      <w:r>
        <w:rPr>
          <w:sz w:val="36"/>
          <w:szCs w:val="36"/>
        </w:rPr>
        <w:t xml:space="preserve"> Counties and Metropolitan Areas</w:t>
      </w:r>
    </w:p>
    <w:p w14:paraId="0313A718" w14:textId="77777777" w:rsidR="006A59E7" w:rsidRDefault="006A59E7" w:rsidP="006A59E7">
      <w:pPr>
        <w:pStyle w:val="BodyText"/>
        <w:rPr>
          <w:b w:val="0"/>
          <w:bCs w:val="0"/>
          <w:sz w:val="36"/>
          <w:szCs w:val="36"/>
        </w:rPr>
      </w:pPr>
    </w:p>
    <w:p w14:paraId="23FE0056" w14:textId="77777777" w:rsidR="006A59E7" w:rsidRDefault="006A59E7" w:rsidP="006A59E7">
      <w:pPr>
        <w:pStyle w:val="BodyText"/>
        <w:rPr>
          <w:b w:val="0"/>
          <w:bCs w:val="0"/>
          <w:sz w:val="24"/>
        </w:rPr>
      </w:pPr>
    </w:p>
    <w:p w14:paraId="625FBB0F" w14:textId="77777777" w:rsidR="006A59E7" w:rsidRDefault="006A59E7" w:rsidP="006A59E7">
      <w:pPr>
        <w:pStyle w:val="BodyText"/>
        <w:rPr>
          <w:b w:val="0"/>
          <w:bCs w:val="0"/>
          <w:sz w:val="24"/>
        </w:rPr>
      </w:pPr>
      <w:r>
        <w:rPr>
          <w:b w:val="0"/>
          <w:bCs w:val="0"/>
          <w:sz w:val="24"/>
        </w:rPr>
        <w:t>By</w:t>
      </w:r>
    </w:p>
    <w:p w14:paraId="0D981ACD" w14:textId="77777777" w:rsidR="006A59E7" w:rsidRDefault="006A59E7" w:rsidP="006A59E7">
      <w:pPr>
        <w:pStyle w:val="BodyText"/>
        <w:rPr>
          <w:b w:val="0"/>
          <w:bCs w:val="0"/>
          <w:sz w:val="24"/>
        </w:rPr>
      </w:pPr>
    </w:p>
    <w:p w14:paraId="1F48D09D" w14:textId="77777777" w:rsidR="006A59E7" w:rsidRDefault="006A59E7" w:rsidP="006A59E7">
      <w:pPr>
        <w:pStyle w:val="BodyText"/>
        <w:rPr>
          <w:b w:val="0"/>
          <w:bCs w:val="0"/>
          <w:sz w:val="24"/>
        </w:rPr>
      </w:pPr>
    </w:p>
    <w:p w14:paraId="4777DBF8" w14:textId="77777777" w:rsidR="006A59E7" w:rsidRDefault="006A59E7" w:rsidP="006A59E7">
      <w:pPr>
        <w:pStyle w:val="BodyText"/>
        <w:rPr>
          <w:b w:val="0"/>
          <w:bCs w:val="0"/>
          <w:sz w:val="24"/>
        </w:rPr>
      </w:pPr>
      <w:r>
        <w:rPr>
          <w:b w:val="0"/>
          <w:bCs w:val="0"/>
          <w:sz w:val="24"/>
        </w:rPr>
        <w:t>William C. Wheaton</w:t>
      </w:r>
    </w:p>
    <w:p w14:paraId="5C3E9721" w14:textId="77777777" w:rsidR="006A59E7" w:rsidRDefault="006A59E7" w:rsidP="006A59E7">
      <w:pPr>
        <w:pStyle w:val="BodyText"/>
        <w:rPr>
          <w:b w:val="0"/>
          <w:bCs w:val="0"/>
          <w:sz w:val="24"/>
        </w:rPr>
      </w:pPr>
      <w:r>
        <w:rPr>
          <w:b w:val="0"/>
          <w:bCs w:val="0"/>
          <w:sz w:val="24"/>
        </w:rPr>
        <w:t>Department of Economics</w:t>
      </w:r>
    </w:p>
    <w:p w14:paraId="6838A540" w14:textId="77777777" w:rsidR="006A59E7" w:rsidRDefault="006A59E7" w:rsidP="006A59E7">
      <w:pPr>
        <w:pStyle w:val="BodyText"/>
        <w:rPr>
          <w:b w:val="0"/>
          <w:bCs w:val="0"/>
          <w:sz w:val="24"/>
        </w:rPr>
      </w:pPr>
      <w:r>
        <w:rPr>
          <w:b w:val="0"/>
          <w:bCs w:val="0"/>
          <w:sz w:val="24"/>
        </w:rPr>
        <w:t>Center for Real Estate</w:t>
      </w:r>
    </w:p>
    <w:p w14:paraId="60288767" w14:textId="77777777" w:rsidR="006A59E7" w:rsidRDefault="006A59E7" w:rsidP="006A59E7">
      <w:pPr>
        <w:pStyle w:val="BodyText"/>
        <w:rPr>
          <w:b w:val="0"/>
          <w:bCs w:val="0"/>
          <w:sz w:val="24"/>
        </w:rPr>
      </w:pPr>
      <w:r>
        <w:rPr>
          <w:b w:val="0"/>
          <w:bCs w:val="0"/>
          <w:sz w:val="24"/>
        </w:rPr>
        <w:t>MIT*</w:t>
      </w:r>
    </w:p>
    <w:p w14:paraId="0DDF5DA0" w14:textId="77777777" w:rsidR="006A59E7" w:rsidRDefault="006A59E7" w:rsidP="006A59E7">
      <w:pPr>
        <w:pStyle w:val="BodyText"/>
        <w:rPr>
          <w:b w:val="0"/>
          <w:bCs w:val="0"/>
          <w:sz w:val="24"/>
        </w:rPr>
      </w:pPr>
      <w:r>
        <w:rPr>
          <w:b w:val="0"/>
          <w:bCs w:val="0"/>
          <w:sz w:val="24"/>
        </w:rPr>
        <w:t>Cambridge, Mass 02139</w:t>
      </w:r>
    </w:p>
    <w:p w14:paraId="4D17897B" w14:textId="77777777" w:rsidR="006A59E7" w:rsidRDefault="00047D95" w:rsidP="006A59E7">
      <w:pPr>
        <w:pStyle w:val="BodyText"/>
        <w:rPr>
          <w:b w:val="0"/>
          <w:bCs w:val="0"/>
          <w:sz w:val="24"/>
          <w:lang w:val="es-ES"/>
        </w:rPr>
      </w:pPr>
      <w:hyperlink r:id="rId11" w:history="1">
        <w:r w:rsidR="006A59E7">
          <w:rPr>
            <w:rStyle w:val="Hyperlink"/>
            <w:b w:val="0"/>
            <w:bCs w:val="0"/>
            <w:sz w:val="24"/>
            <w:lang w:val="es-ES"/>
          </w:rPr>
          <w:t>wheaton@mit.edu</w:t>
        </w:r>
      </w:hyperlink>
    </w:p>
    <w:p w14:paraId="1B022308" w14:textId="77777777" w:rsidR="006A59E7" w:rsidRDefault="006A59E7" w:rsidP="006A59E7">
      <w:pPr>
        <w:pStyle w:val="BodyText"/>
        <w:rPr>
          <w:b w:val="0"/>
          <w:bCs w:val="0"/>
          <w:sz w:val="24"/>
          <w:lang w:val="es-ES"/>
        </w:rPr>
      </w:pPr>
    </w:p>
    <w:p w14:paraId="3C069A3C" w14:textId="77777777" w:rsidR="006A59E7" w:rsidRDefault="006A59E7" w:rsidP="006A59E7">
      <w:pPr>
        <w:pStyle w:val="BodyText"/>
        <w:rPr>
          <w:b w:val="0"/>
          <w:bCs w:val="0"/>
          <w:sz w:val="24"/>
          <w:lang w:val="es-ES"/>
        </w:rPr>
      </w:pPr>
    </w:p>
    <w:p w14:paraId="6457CFB4" w14:textId="77777777" w:rsidR="006A59E7" w:rsidRDefault="00D1471F" w:rsidP="006A59E7">
      <w:pPr>
        <w:pStyle w:val="BodyText"/>
        <w:rPr>
          <w:b w:val="0"/>
          <w:bCs w:val="0"/>
          <w:sz w:val="24"/>
          <w:lang w:val="es-ES"/>
        </w:rPr>
      </w:pPr>
      <w:r>
        <w:rPr>
          <w:b w:val="0"/>
          <w:bCs w:val="0"/>
          <w:sz w:val="24"/>
          <w:lang w:val="es-ES"/>
        </w:rPr>
        <w:t>Anne Kinsella Thompson</w:t>
      </w:r>
    </w:p>
    <w:p w14:paraId="17C8196A" w14:textId="77777777" w:rsidR="006A59E7" w:rsidRDefault="00D1471F" w:rsidP="006A59E7">
      <w:pPr>
        <w:pStyle w:val="BodyText"/>
        <w:rPr>
          <w:b w:val="0"/>
          <w:bCs w:val="0"/>
          <w:sz w:val="24"/>
          <w:lang w:val="es-ES"/>
        </w:rPr>
      </w:pPr>
      <w:r>
        <w:rPr>
          <w:b w:val="0"/>
          <w:bCs w:val="0"/>
          <w:sz w:val="24"/>
          <w:lang w:val="es-ES"/>
        </w:rPr>
        <w:t xml:space="preserve">Center </w:t>
      </w:r>
      <w:proofErr w:type="spellStart"/>
      <w:r>
        <w:rPr>
          <w:b w:val="0"/>
          <w:bCs w:val="0"/>
          <w:sz w:val="24"/>
          <w:lang w:val="es-ES"/>
        </w:rPr>
        <w:t>for</w:t>
      </w:r>
      <w:proofErr w:type="spellEnd"/>
      <w:r>
        <w:rPr>
          <w:b w:val="0"/>
          <w:bCs w:val="0"/>
          <w:sz w:val="24"/>
          <w:lang w:val="es-ES"/>
        </w:rPr>
        <w:t xml:space="preserve"> Real Estate</w:t>
      </w:r>
    </w:p>
    <w:p w14:paraId="7283B5FF" w14:textId="77777777" w:rsidR="00D1471F" w:rsidRDefault="00D1471F" w:rsidP="006A59E7">
      <w:pPr>
        <w:pStyle w:val="BodyText"/>
        <w:rPr>
          <w:b w:val="0"/>
          <w:bCs w:val="0"/>
          <w:sz w:val="24"/>
          <w:lang w:val="es-ES"/>
        </w:rPr>
      </w:pPr>
      <w:r>
        <w:rPr>
          <w:b w:val="0"/>
          <w:bCs w:val="0"/>
          <w:sz w:val="24"/>
          <w:lang w:val="es-ES"/>
        </w:rPr>
        <w:t>MIT</w:t>
      </w:r>
      <w:r w:rsidR="00C25DFE">
        <w:rPr>
          <w:b w:val="0"/>
          <w:bCs w:val="0"/>
          <w:sz w:val="24"/>
          <w:lang w:val="es-ES"/>
        </w:rPr>
        <w:t>*</w:t>
      </w:r>
    </w:p>
    <w:p w14:paraId="41E9E435" w14:textId="77777777" w:rsidR="006A59E7" w:rsidRDefault="00D1471F" w:rsidP="006A59E7">
      <w:pPr>
        <w:pStyle w:val="BodyText"/>
        <w:rPr>
          <w:b w:val="0"/>
          <w:bCs w:val="0"/>
          <w:sz w:val="24"/>
          <w:lang w:val="es-ES"/>
        </w:rPr>
      </w:pPr>
      <w:r>
        <w:rPr>
          <w:b w:val="0"/>
          <w:bCs w:val="0"/>
          <w:sz w:val="24"/>
          <w:lang w:val="es-ES"/>
        </w:rPr>
        <w:t xml:space="preserve">Cambridge, </w:t>
      </w:r>
      <w:proofErr w:type="spellStart"/>
      <w:r>
        <w:rPr>
          <w:b w:val="0"/>
          <w:bCs w:val="0"/>
          <w:sz w:val="24"/>
          <w:lang w:val="es-ES"/>
        </w:rPr>
        <w:t>Mass</w:t>
      </w:r>
      <w:proofErr w:type="spellEnd"/>
      <w:r>
        <w:rPr>
          <w:b w:val="0"/>
          <w:bCs w:val="0"/>
          <w:sz w:val="24"/>
          <w:lang w:val="es-ES"/>
        </w:rPr>
        <w:t xml:space="preserve"> 02139</w:t>
      </w:r>
    </w:p>
    <w:p w14:paraId="44E4A6BC" w14:textId="77777777" w:rsidR="00D1471F" w:rsidRDefault="00D1471F" w:rsidP="006A59E7">
      <w:pPr>
        <w:pStyle w:val="BodyText"/>
        <w:rPr>
          <w:b w:val="0"/>
          <w:bCs w:val="0"/>
          <w:sz w:val="24"/>
          <w:lang w:val="es-ES"/>
        </w:rPr>
      </w:pPr>
      <w:r w:rsidRPr="00D1471F">
        <w:rPr>
          <w:b w:val="0"/>
          <w:bCs w:val="0"/>
          <w:sz w:val="24"/>
          <w:lang w:val="es-ES"/>
        </w:rPr>
        <w:t>anniek@mit.edu</w:t>
      </w:r>
    </w:p>
    <w:p w14:paraId="12DD6034" w14:textId="77777777" w:rsidR="00D1471F" w:rsidRDefault="00D1471F" w:rsidP="006A59E7">
      <w:pPr>
        <w:pStyle w:val="BodyText"/>
        <w:rPr>
          <w:b w:val="0"/>
          <w:bCs w:val="0"/>
          <w:sz w:val="24"/>
          <w:lang w:val="es-ES"/>
        </w:rPr>
      </w:pPr>
    </w:p>
    <w:p w14:paraId="51C05F91" w14:textId="77777777" w:rsidR="006A59E7" w:rsidRDefault="006A59E7" w:rsidP="006A59E7">
      <w:pPr>
        <w:pStyle w:val="BodyText"/>
        <w:rPr>
          <w:b w:val="0"/>
          <w:bCs w:val="0"/>
          <w:sz w:val="24"/>
          <w:lang w:val="es-ES"/>
        </w:rPr>
      </w:pPr>
    </w:p>
    <w:p w14:paraId="5C1F0BC0" w14:textId="77777777" w:rsidR="006A59E7" w:rsidRDefault="006A59E7" w:rsidP="006A59E7">
      <w:pPr>
        <w:pStyle w:val="BodyText"/>
        <w:rPr>
          <w:b w:val="0"/>
          <w:bCs w:val="0"/>
          <w:sz w:val="24"/>
          <w:lang w:val="es-ES"/>
        </w:rPr>
      </w:pPr>
    </w:p>
    <w:p w14:paraId="2E12A8EE" w14:textId="77777777" w:rsidR="006A59E7" w:rsidRDefault="006A59E7" w:rsidP="006A59E7">
      <w:pPr>
        <w:pStyle w:val="BodyText"/>
        <w:rPr>
          <w:b w:val="0"/>
          <w:bCs w:val="0"/>
          <w:sz w:val="24"/>
          <w:lang w:val="es-ES"/>
        </w:rPr>
      </w:pPr>
    </w:p>
    <w:p w14:paraId="1CE786AF" w14:textId="77777777" w:rsidR="006A59E7" w:rsidRDefault="006A59E7" w:rsidP="006A59E7">
      <w:pPr>
        <w:pStyle w:val="BodyText"/>
        <w:rPr>
          <w:b w:val="0"/>
          <w:bCs w:val="0"/>
          <w:sz w:val="24"/>
          <w:lang w:val="es-ES"/>
        </w:rPr>
      </w:pPr>
    </w:p>
    <w:p w14:paraId="7926A157" w14:textId="77777777" w:rsidR="006A59E7" w:rsidRDefault="006A59E7" w:rsidP="006A59E7">
      <w:pPr>
        <w:pStyle w:val="BodyText"/>
        <w:rPr>
          <w:b w:val="0"/>
          <w:bCs w:val="0"/>
          <w:sz w:val="24"/>
          <w:lang w:val="es-ES"/>
        </w:rPr>
      </w:pPr>
    </w:p>
    <w:p w14:paraId="5A088888" w14:textId="77777777" w:rsidR="006A59E7" w:rsidRDefault="006A59E7" w:rsidP="006A59E7">
      <w:pPr>
        <w:pStyle w:val="BodyText"/>
        <w:rPr>
          <w:b w:val="0"/>
          <w:bCs w:val="0"/>
          <w:sz w:val="24"/>
          <w:lang w:val="es-ES"/>
        </w:rPr>
      </w:pPr>
    </w:p>
    <w:p w14:paraId="146AA20D" w14:textId="77777777" w:rsidR="006A59E7" w:rsidRDefault="006A59E7" w:rsidP="006A59E7">
      <w:pPr>
        <w:pStyle w:val="BodyText"/>
        <w:rPr>
          <w:b w:val="0"/>
          <w:bCs w:val="0"/>
          <w:sz w:val="24"/>
        </w:rPr>
      </w:pPr>
    </w:p>
    <w:p w14:paraId="59D77BA0" w14:textId="77777777" w:rsidR="006A59E7" w:rsidRDefault="006A59E7" w:rsidP="006A59E7">
      <w:pPr>
        <w:pStyle w:val="BodyText"/>
        <w:rPr>
          <w:b w:val="0"/>
          <w:bCs w:val="0"/>
          <w:sz w:val="24"/>
        </w:rPr>
      </w:pPr>
    </w:p>
    <w:p w14:paraId="3AAE9E17" w14:textId="77777777" w:rsidR="006A59E7" w:rsidRDefault="006A59E7" w:rsidP="006A59E7">
      <w:pPr>
        <w:pStyle w:val="BodyText"/>
        <w:rPr>
          <w:b w:val="0"/>
          <w:bCs w:val="0"/>
          <w:sz w:val="24"/>
        </w:rPr>
      </w:pPr>
    </w:p>
    <w:p w14:paraId="57F3A096" w14:textId="77777777" w:rsidR="006A59E7" w:rsidRDefault="006A59E7" w:rsidP="006A59E7">
      <w:pPr>
        <w:pStyle w:val="BodyText"/>
        <w:rPr>
          <w:b w:val="0"/>
          <w:bCs w:val="0"/>
          <w:sz w:val="24"/>
        </w:rPr>
      </w:pPr>
    </w:p>
    <w:p w14:paraId="3864783A" w14:textId="77777777" w:rsidR="006A59E7" w:rsidRDefault="006A59E7" w:rsidP="006A59E7">
      <w:pPr>
        <w:pStyle w:val="BodyText"/>
        <w:rPr>
          <w:b w:val="0"/>
          <w:bCs w:val="0"/>
          <w:sz w:val="24"/>
        </w:rPr>
      </w:pPr>
      <w:r>
        <w:rPr>
          <w:b w:val="0"/>
          <w:bCs w:val="0"/>
          <w:sz w:val="24"/>
        </w:rPr>
        <w:t xml:space="preserve">The authors are </w:t>
      </w:r>
      <w:r w:rsidR="001C4219">
        <w:rPr>
          <w:b w:val="0"/>
          <w:bCs w:val="0"/>
          <w:sz w:val="24"/>
        </w:rPr>
        <w:t xml:space="preserve">respectively </w:t>
      </w:r>
      <w:r w:rsidR="00D1471F">
        <w:rPr>
          <w:b w:val="0"/>
          <w:bCs w:val="0"/>
          <w:sz w:val="24"/>
        </w:rPr>
        <w:t xml:space="preserve">Professor </w:t>
      </w:r>
      <w:r w:rsidR="001C4219">
        <w:rPr>
          <w:b w:val="0"/>
          <w:bCs w:val="0"/>
          <w:sz w:val="24"/>
        </w:rPr>
        <w:t xml:space="preserve">(Emeritus, Economics) </w:t>
      </w:r>
      <w:r w:rsidR="00D1471F">
        <w:rPr>
          <w:b w:val="0"/>
          <w:bCs w:val="0"/>
          <w:sz w:val="24"/>
        </w:rPr>
        <w:t xml:space="preserve">and Lecturer at </w:t>
      </w:r>
      <w:r>
        <w:rPr>
          <w:b w:val="0"/>
          <w:bCs w:val="0"/>
          <w:sz w:val="24"/>
        </w:rPr>
        <w:t xml:space="preserve">the MIT Center for Real Estate.  They remain responsible for all results and conclusions derived there from. </w:t>
      </w:r>
    </w:p>
    <w:p w14:paraId="01652BD4" w14:textId="77777777" w:rsidR="006A59E7" w:rsidRDefault="006A59E7" w:rsidP="006A59E7">
      <w:pPr>
        <w:pStyle w:val="BodyText"/>
        <w:rPr>
          <w:b w:val="0"/>
          <w:bCs w:val="0"/>
          <w:sz w:val="24"/>
        </w:rPr>
      </w:pPr>
    </w:p>
    <w:p w14:paraId="214F26EE" w14:textId="77777777" w:rsidR="006A59E7" w:rsidRDefault="006A59E7" w:rsidP="006A59E7">
      <w:pPr>
        <w:pStyle w:val="BodyText"/>
        <w:rPr>
          <w:b w:val="0"/>
          <w:bCs w:val="0"/>
          <w:sz w:val="24"/>
        </w:rPr>
      </w:pPr>
    </w:p>
    <w:p w14:paraId="749533CD" w14:textId="77777777" w:rsidR="0089055E" w:rsidRDefault="0089055E" w:rsidP="0089055E">
      <w:pPr>
        <w:pStyle w:val="BodyText"/>
        <w:rPr>
          <w:b w:val="0"/>
          <w:bCs w:val="0"/>
          <w:sz w:val="24"/>
        </w:rPr>
      </w:pPr>
      <w:r>
        <w:rPr>
          <w:b w:val="0"/>
          <w:bCs w:val="0"/>
          <w:sz w:val="24"/>
        </w:rPr>
        <w:t xml:space="preserve">JEL Code: R, </w:t>
      </w:r>
      <w:r w:rsidR="001D00AE">
        <w:rPr>
          <w:b w:val="0"/>
          <w:bCs w:val="0"/>
          <w:sz w:val="24"/>
        </w:rPr>
        <w:t>I</w:t>
      </w:r>
      <w:r>
        <w:rPr>
          <w:b w:val="0"/>
          <w:bCs w:val="0"/>
          <w:sz w:val="24"/>
        </w:rPr>
        <w:t xml:space="preserve">. </w:t>
      </w:r>
    </w:p>
    <w:p w14:paraId="1AF145C9" w14:textId="77777777" w:rsidR="0089055E" w:rsidRDefault="0089055E" w:rsidP="0089055E">
      <w:pPr>
        <w:pStyle w:val="BodyText"/>
        <w:rPr>
          <w:b w:val="0"/>
          <w:bCs w:val="0"/>
          <w:sz w:val="24"/>
        </w:rPr>
      </w:pPr>
      <w:r>
        <w:rPr>
          <w:b w:val="0"/>
          <w:bCs w:val="0"/>
          <w:sz w:val="24"/>
        </w:rPr>
        <w:t xml:space="preserve">Keywords: </w:t>
      </w:r>
      <w:r w:rsidR="001D00AE">
        <w:rPr>
          <w:b w:val="0"/>
          <w:bCs w:val="0"/>
          <w:sz w:val="24"/>
        </w:rPr>
        <w:t xml:space="preserve">Coronavirus, Health, Urban Economics </w:t>
      </w:r>
    </w:p>
    <w:p w14:paraId="274C235A" w14:textId="19BCE63E" w:rsidR="006B4068" w:rsidRPr="006B4068" w:rsidRDefault="0089055E" w:rsidP="0089055E">
      <w:pPr>
        <w:pStyle w:val="BodyText"/>
        <w:rPr>
          <w:b w:val="0"/>
          <w:bCs w:val="0"/>
          <w:sz w:val="24"/>
        </w:rPr>
      </w:pPr>
      <w:r>
        <w:rPr>
          <w:b w:val="0"/>
          <w:bCs w:val="0"/>
          <w:sz w:val="24"/>
        </w:rPr>
        <w:t>SSRN</w:t>
      </w:r>
      <w:r w:rsidR="006B4068">
        <w:rPr>
          <w:b w:val="0"/>
          <w:bCs w:val="0"/>
          <w:sz w:val="24"/>
        </w:rPr>
        <w:t xml:space="preserve">: </w:t>
      </w:r>
      <w:r w:rsidR="006B4068" w:rsidRPr="006B4068">
        <w:rPr>
          <w:sz w:val="24"/>
        </w:rPr>
        <w:t xml:space="preserve">     </w:t>
      </w:r>
      <w:hyperlink r:id="rId12" w:history="1">
        <w:r w:rsidR="006B4068" w:rsidRPr="006B4068">
          <w:rPr>
            <w:rStyle w:val="Hyperlink"/>
            <w:sz w:val="24"/>
          </w:rPr>
          <w:t>http://ssrn.com/abstract=3570540</w:t>
        </w:r>
      </w:hyperlink>
    </w:p>
    <w:p w14:paraId="606EC957" w14:textId="77777777" w:rsidR="00AC5C2F" w:rsidRDefault="00AC5C2F">
      <w:pPr>
        <w:rPr>
          <w:b/>
        </w:rPr>
      </w:pPr>
    </w:p>
    <w:p w14:paraId="152EEED1" w14:textId="77777777" w:rsidR="0039313F" w:rsidRDefault="00AC5C2F" w:rsidP="00AC5C2F">
      <w:pPr>
        <w:rPr>
          <w:bCs/>
        </w:rPr>
      </w:pPr>
      <w:r>
        <w:rPr>
          <w:bCs/>
        </w:rPr>
        <w:tab/>
      </w:r>
      <w:r>
        <w:rPr>
          <w:bCs/>
        </w:rPr>
        <w:tab/>
      </w:r>
      <w:r>
        <w:rPr>
          <w:bCs/>
        </w:rPr>
        <w:tab/>
      </w:r>
      <w:r>
        <w:rPr>
          <w:bCs/>
        </w:rPr>
        <w:tab/>
      </w:r>
      <w:r>
        <w:rPr>
          <w:bCs/>
        </w:rPr>
        <w:tab/>
      </w:r>
    </w:p>
    <w:p w14:paraId="7F51DA53" w14:textId="77777777" w:rsidR="006B4068" w:rsidRDefault="0039313F" w:rsidP="00AC5C2F">
      <w:pPr>
        <w:rPr>
          <w:bCs/>
        </w:rPr>
      </w:pPr>
      <w:r>
        <w:rPr>
          <w:bCs/>
        </w:rPr>
        <w:tab/>
      </w:r>
      <w:r>
        <w:rPr>
          <w:bCs/>
        </w:rPr>
        <w:tab/>
      </w:r>
      <w:r>
        <w:rPr>
          <w:bCs/>
        </w:rPr>
        <w:tab/>
      </w:r>
      <w:r>
        <w:rPr>
          <w:bCs/>
        </w:rPr>
        <w:tab/>
      </w:r>
    </w:p>
    <w:p w14:paraId="448C8418" w14:textId="7ED9A9BE" w:rsidR="00AC5C2F" w:rsidRDefault="0039313F" w:rsidP="00AC5C2F">
      <w:pPr>
        <w:rPr>
          <w:b/>
          <w:bCs/>
        </w:rPr>
      </w:pPr>
      <w:r>
        <w:rPr>
          <w:bCs/>
        </w:rPr>
        <w:lastRenderedPageBreak/>
        <w:tab/>
      </w:r>
      <w:r w:rsidR="00AC5C2F">
        <w:rPr>
          <w:bCs/>
        </w:rPr>
        <w:tab/>
      </w:r>
      <w:r w:rsidR="00AC5C2F">
        <w:rPr>
          <w:b/>
          <w:bCs/>
        </w:rPr>
        <w:t>Abstract</w:t>
      </w:r>
    </w:p>
    <w:p w14:paraId="5DB46116" w14:textId="77777777" w:rsidR="00CC40B7" w:rsidRDefault="00CC40B7" w:rsidP="00AC5C2F">
      <w:pPr>
        <w:rPr>
          <w:b/>
          <w:bCs/>
        </w:rPr>
      </w:pPr>
    </w:p>
    <w:p w14:paraId="6BFD770F" w14:textId="77777777" w:rsidR="00AC5C2F" w:rsidRDefault="00AC5C2F" w:rsidP="00AC5C2F">
      <w:pPr>
        <w:pStyle w:val="BodyText"/>
        <w:jc w:val="left"/>
        <w:rPr>
          <w:b w:val="0"/>
          <w:bCs w:val="0"/>
          <w:sz w:val="24"/>
        </w:rPr>
      </w:pPr>
    </w:p>
    <w:p w14:paraId="75CD7421" w14:textId="3200F74D" w:rsidR="00AC5C2F" w:rsidRDefault="0026327D" w:rsidP="00AC5C2F">
      <w:pPr>
        <w:pStyle w:val="BodyText"/>
        <w:jc w:val="left"/>
        <w:rPr>
          <w:b w:val="0"/>
          <w:bCs w:val="0"/>
          <w:sz w:val="24"/>
        </w:rPr>
      </w:pPr>
      <w:r>
        <w:rPr>
          <w:b w:val="0"/>
          <w:bCs w:val="0"/>
          <w:sz w:val="24"/>
        </w:rPr>
        <w:t xml:space="preserve">It has been </w:t>
      </w:r>
      <w:r w:rsidR="00A704F6">
        <w:rPr>
          <w:b w:val="0"/>
          <w:bCs w:val="0"/>
          <w:sz w:val="24"/>
        </w:rPr>
        <w:t>70</w:t>
      </w:r>
      <w:r>
        <w:rPr>
          <w:b w:val="0"/>
          <w:bCs w:val="0"/>
          <w:sz w:val="24"/>
        </w:rPr>
        <w:t xml:space="preserve"> days since the first case of </w:t>
      </w:r>
      <w:r w:rsidR="005E63FE">
        <w:rPr>
          <w:b w:val="0"/>
          <w:bCs w:val="0"/>
          <w:sz w:val="24"/>
        </w:rPr>
        <w:t>Covid-19</w:t>
      </w:r>
      <w:r>
        <w:rPr>
          <w:b w:val="0"/>
          <w:bCs w:val="0"/>
          <w:sz w:val="24"/>
        </w:rPr>
        <w:t xml:space="preserve"> was detected in the US. Since then it has spread and grown in all but </w:t>
      </w:r>
      <w:r w:rsidR="00A704F6">
        <w:rPr>
          <w:b w:val="0"/>
          <w:bCs w:val="0"/>
          <w:sz w:val="24"/>
        </w:rPr>
        <w:t xml:space="preserve">2 </w:t>
      </w:r>
      <w:r>
        <w:rPr>
          <w:b w:val="0"/>
          <w:bCs w:val="0"/>
          <w:sz w:val="24"/>
        </w:rPr>
        <w:t xml:space="preserve">of </w:t>
      </w:r>
      <w:r w:rsidR="00A704F6">
        <w:rPr>
          <w:b w:val="0"/>
          <w:bCs w:val="0"/>
          <w:sz w:val="24"/>
        </w:rPr>
        <w:t>376</w:t>
      </w:r>
      <w:r>
        <w:rPr>
          <w:b w:val="0"/>
          <w:bCs w:val="0"/>
          <w:sz w:val="24"/>
        </w:rPr>
        <w:t xml:space="preserve"> MSAs</w:t>
      </w:r>
      <w:r w:rsidR="00593C31">
        <w:rPr>
          <w:b w:val="0"/>
          <w:bCs w:val="0"/>
          <w:sz w:val="24"/>
        </w:rPr>
        <w:t xml:space="preserve"> and all but 45 of the 636 counties that are contained in these MSA</w:t>
      </w:r>
      <w:r>
        <w:rPr>
          <w:b w:val="0"/>
          <w:bCs w:val="0"/>
          <w:sz w:val="24"/>
        </w:rPr>
        <w:t xml:space="preserve">. In this paper we examine the determinants of how rapidly the virus </w:t>
      </w:r>
      <w:r w:rsidR="00A704F6">
        <w:rPr>
          <w:b w:val="0"/>
          <w:bCs w:val="0"/>
          <w:sz w:val="24"/>
        </w:rPr>
        <w:t>grows</w:t>
      </w:r>
      <w:r>
        <w:rPr>
          <w:b w:val="0"/>
          <w:bCs w:val="0"/>
          <w:sz w:val="24"/>
        </w:rPr>
        <w:t xml:space="preserve"> once it has been seeded within a MSA</w:t>
      </w:r>
      <w:r w:rsidR="00121F85">
        <w:rPr>
          <w:b w:val="0"/>
          <w:bCs w:val="0"/>
          <w:sz w:val="24"/>
        </w:rPr>
        <w:t xml:space="preserve"> or county</w:t>
      </w:r>
      <w:r>
        <w:rPr>
          <w:b w:val="0"/>
          <w:bCs w:val="0"/>
          <w:sz w:val="24"/>
        </w:rPr>
        <w:t xml:space="preserve">. We find </w:t>
      </w:r>
      <w:r w:rsidR="00121F85">
        <w:rPr>
          <w:b w:val="0"/>
          <w:bCs w:val="0"/>
          <w:sz w:val="24"/>
        </w:rPr>
        <w:t xml:space="preserve">virus cases </w:t>
      </w:r>
      <w:r>
        <w:rPr>
          <w:b w:val="0"/>
          <w:bCs w:val="0"/>
          <w:sz w:val="24"/>
        </w:rPr>
        <w:t xml:space="preserve">can be well predicted by </w:t>
      </w:r>
      <w:r w:rsidR="00121F85">
        <w:rPr>
          <w:b w:val="0"/>
          <w:bCs w:val="0"/>
          <w:sz w:val="24"/>
        </w:rPr>
        <w:t xml:space="preserve">area </w:t>
      </w:r>
      <w:r>
        <w:rPr>
          <w:b w:val="0"/>
          <w:bCs w:val="0"/>
          <w:sz w:val="24"/>
        </w:rPr>
        <w:t xml:space="preserve">population, </w:t>
      </w:r>
      <w:r w:rsidR="00121F85">
        <w:rPr>
          <w:b w:val="0"/>
          <w:bCs w:val="0"/>
          <w:sz w:val="24"/>
        </w:rPr>
        <w:t xml:space="preserve">as well as </w:t>
      </w:r>
      <w:r>
        <w:rPr>
          <w:b w:val="0"/>
          <w:bCs w:val="0"/>
          <w:sz w:val="24"/>
        </w:rPr>
        <w:t xml:space="preserve">days-since-onset. </w:t>
      </w:r>
      <w:r w:rsidR="00121F85">
        <w:rPr>
          <w:b w:val="0"/>
          <w:bCs w:val="0"/>
          <w:sz w:val="24"/>
        </w:rPr>
        <w:t>In the data, virus cases scale almost p</w:t>
      </w:r>
      <w:r w:rsidR="00D47F8D">
        <w:rPr>
          <w:b w:val="0"/>
          <w:bCs w:val="0"/>
          <w:sz w:val="24"/>
        </w:rPr>
        <w:t>roportionately</w:t>
      </w:r>
      <w:r w:rsidR="00121F85">
        <w:rPr>
          <w:b w:val="0"/>
          <w:bCs w:val="0"/>
          <w:sz w:val="24"/>
        </w:rPr>
        <w:t xml:space="preserve"> with population, and excluding population significantly changes the impact of days-since-onset. </w:t>
      </w:r>
      <w:r w:rsidR="00A704F6">
        <w:rPr>
          <w:b w:val="0"/>
          <w:bCs w:val="0"/>
          <w:sz w:val="24"/>
        </w:rPr>
        <w:t xml:space="preserve">Growth is also related to </w:t>
      </w:r>
      <w:r w:rsidR="00121F85">
        <w:rPr>
          <w:b w:val="0"/>
          <w:bCs w:val="0"/>
          <w:sz w:val="24"/>
        </w:rPr>
        <w:t xml:space="preserve">residential density and </w:t>
      </w:r>
      <w:r w:rsidR="005E63FE">
        <w:rPr>
          <w:b w:val="0"/>
          <w:bCs w:val="0"/>
          <w:sz w:val="24"/>
        </w:rPr>
        <w:t>per capita</w:t>
      </w:r>
      <w:r w:rsidR="00A704F6">
        <w:rPr>
          <w:b w:val="0"/>
          <w:bCs w:val="0"/>
          <w:sz w:val="24"/>
        </w:rPr>
        <w:t xml:space="preserve"> income, particularly at the county level. </w:t>
      </w:r>
      <w:r>
        <w:rPr>
          <w:b w:val="0"/>
          <w:bCs w:val="0"/>
          <w:sz w:val="24"/>
        </w:rPr>
        <w:t xml:space="preserve">There </w:t>
      </w:r>
      <w:r w:rsidR="00405212">
        <w:rPr>
          <w:b w:val="0"/>
          <w:bCs w:val="0"/>
          <w:sz w:val="24"/>
        </w:rPr>
        <w:t xml:space="preserve">are </w:t>
      </w:r>
      <w:r>
        <w:rPr>
          <w:b w:val="0"/>
          <w:bCs w:val="0"/>
          <w:sz w:val="24"/>
        </w:rPr>
        <w:t>weak</w:t>
      </w:r>
      <w:r w:rsidR="00121F85">
        <w:rPr>
          <w:b w:val="0"/>
          <w:bCs w:val="0"/>
          <w:sz w:val="24"/>
        </w:rPr>
        <w:t>er</w:t>
      </w:r>
      <w:r>
        <w:rPr>
          <w:b w:val="0"/>
          <w:bCs w:val="0"/>
          <w:sz w:val="24"/>
        </w:rPr>
        <w:t xml:space="preserve"> relationships to MSA average household size</w:t>
      </w:r>
      <w:r w:rsidR="00A704F6">
        <w:rPr>
          <w:b w:val="0"/>
          <w:bCs w:val="0"/>
          <w:sz w:val="24"/>
        </w:rPr>
        <w:t xml:space="preserve">, </w:t>
      </w:r>
      <w:r w:rsidR="005E63FE">
        <w:rPr>
          <w:b w:val="0"/>
          <w:bCs w:val="0"/>
          <w:sz w:val="24"/>
        </w:rPr>
        <w:t>per capita</w:t>
      </w:r>
      <w:r w:rsidR="00A704F6">
        <w:rPr>
          <w:b w:val="0"/>
          <w:bCs w:val="0"/>
          <w:sz w:val="24"/>
        </w:rPr>
        <w:t xml:space="preserve"> income,</w:t>
      </w:r>
      <w:r>
        <w:rPr>
          <w:b w:val="0"/>
          <w:bCs w:val="0"/>
          <w:sz w:val="24"/>
        </w:rPr>
        <w:t xml:space="preserve"> and the fraction of the population that is over 65. </w:t>
      </w:r>
      <w:r w:rsidR="00B224F8">
        <w:rPr>
          <w:b w:val="0"/>
          <w:bCs w:val="0"/>
          <w:sz w:val="24"/>
        </w:rPr>
        <w:t xml:space="preserve">These results come from parameterizing a simple </w:t>
      </w:r>
      <w:r w:rsidR="00593C31">
        <w:rPr>
          <w:b w:val="0"/>
          <w:bCs w:val="0"/>
          <w:sz w:val="24"/>
        </w:rPr>
        <w:t xml:space="preserve">power function </w:t>
      </w:r>
      <w:r w:rsidR="00B224F8">
        <w:rPr>
          <w:b w:val="0"/>
          <w:bCs w:val="0"/>
          <w:sz w:val="24"/>
        </w:rPr>
        <w:t>model of cumulative infections</w:t>
      </w:r>
      <w:r w:rsidR="00792609">
        <w:rPr>
          <w:b w:val="0"/>
          <w:bCs w:val="0"/>
          <w:sz w:val="24"/>
        </w:rPr>
        <w:t xml:space="preserve"> since onset. </w:t>
      </w:r>
      <w:r w:rsidR="000F0B11">
        <w:rPr>
          <w:b w:val="0"/>
          <w:bCs w:val="0"/>
          <w:sz w:val="24"/>
        </w:rPr>
        <w:t xml:space="preserve">This is </w:t>
      </w:r>
      <w:r w:rsidR="00CC40B7">
        <w:rPr>
          <w:b w:val="0"/>
          <w:bCs w:val="0"/>
          <w:sz w:val="24"/>
        </w:rPr>
        <w:t xml:space="preserve">shifted </w:t>
      </w:r>
      <w:r w:rsidR="000F0B11">
        <w:rPr>
          <w:b w:val="0"/>
          <w:bCs w:val="0"/>
          <w:sz w:val="24"/>
        </w:rPr>
        <w:t xml:space="preserve">proportionately </w:t>
      </w:r>
      <w:r w:rsidR="00CC40B7">
        <w:rPr>
          <w:b w:val="0"/>
          <w:bCs w:val="0"/>
          <w:sz w:val="24"/>
        </w:rPr>
        <w:t>by the various MSA</w:t>
      </w:r>
      <w:r w:rsidR="00593C31">
        <w:rPr>
          <w:b w:val="0"/>
          <w:bCs w:val="0"/>
          <w:sz w:val="24"/>
        </w:rPr>
        <w:t>/County</w:t>
      </w:r>
      <w:r w:rsidR="00CC40B7">
        <w:rPr>
          <w:b w:val="0"/>
          <w:bCs w:val="0"/>
          <w:sz w:val="24"/>
        </w:rPr>
        <w:t xml:space="preserve"> covariates. We </w:t>
      </w:r>
      <w:r w:rsidR="00A704F6">
        <w:rPr>
          <w:b w:val="0"/>
          <w:bCs w:val="0"/>
          <w:sz w:val="24"/>
        </w:rPr>
        <w:t xml:space="preserve">also </w:t>
      </w:r>
      <w:r w:rsidR="00CC40B7">
        <w:rPr>
          <w:b w:val="0"/>
          <w:bCs w:val="0"/>
          <w:sz w:val="24"/>
        </w:rPr>
        <w:t xml:space="preserve">experiment with </w:t>
      </w:r>
      <w:r w:rsidR="00593C31">
        <w:rPr>
          <w:b w:val="0"/>
          <w:bCs w:val="0"/>
          <w:sz w:val="24"/>
        </w:rPr>
        <w:t xml:space="preserve">restricting the sample of areas so as to have a </w:t>
      </w:r>
      <w:r w:rsidR="00A704F6">
        <w:rPr>
          <w:b w:val="0"/>
          <w:bCs w:val="0"/>
          <w:sz w:val="24"/>
        </w:rPr>
        <w:t>minimum number of case</w:t>
      </w:r>
      <w:r w:rsidR="00593C31">
        <w:rPr>
          <w:b w:val="0"/>
          <w:bCs w:val="0"/>
          <w:sz w:val="24"/>
        </w:rPr>
        <w:t xml:space="preserve">s – equal to .01% of the area’s population. This effectively focuses on the more advanced part of the virus growth curve. Here we find a significant </w:t>
      </w:r>
      <w:r w:rsidR="00E65BEF">
        <w:rPr>
          <w:b w:val="0"/>
          <w:bCs w:val="0"/>
          <w:sz w:val="24"/>
        </w:rPr>
        <w:t xml:space="preserve">further </w:t>
      </w:r>
      <w:r w:rsidR="00593C31">
        <w:rPr>
          <w:b w:val="0"/>
          <w:bCs w:val="0"/>
          <w:sz w:val="24"/>
        </w:rPr>
        <w:t xml:space="preserve">decrease </w:t>
      </w:r>
      <w:r w:rsidR="005E63FE">
        <w:rPr>
          <w:b w:val="0"/>
          <w:bCs w:val="0"/>
          <w:sz w:val="24"/>
        </w:rPr>
        <w:t xml:space="preserve">in </w:t>
      </w:r>
      <w:r w:rsidR="00593C31">
        <w:rPr>
          <w:b w:val="0"/>
          <w:bCs w:val="0"/>
          <w:sz w:val="24"/>
        </w:rPr>
        <w:t>the coefficient of days-since-onset. This is preliminary evidence that the virus growth is tapering</w:t>
      </w:r>
      <w:r w:rsidR="00E664F1">
        <w:rPr>
          <w:b w:val="0"/>
          <w:bCs w:val="0"/>
          <w:sz w:val="24"/>
        </w:rPr>
        <w:t xml:space="preserve">. </w:t>
      </w:r>
      <w:r w:rsidR="00CC40B7">
        <w:rPr>
          <w:b w:val="0"/>
          <w:bCs w:val="0"/>
          <w:sz w:val="24"/>
        </w:rPr>
        <w:t xml:space="preserve">We </w:t>
      </w:r>
      <w:r w:rsidR="00B224F8">
        <w:rPr>
          <w:b w:val="0"/>
          <w:bCs w:val="0"/>
          <w:sz w:val="24"/>
        </w:rPr>
        <w:t xml:space="preserve">intend to repeat </w:t>
      </w:r>
      <w:r w:rsidR="00B3703C">
        <w:rPr>
          <w:b w:val="0"/>
          <w:bCs w:val="0"/>
          <w:sz w:val="24"/>
        </w:rPr>
        <w:t>our analysis as time progresses</w:t>
      </w:r>
      <w:r w:rsidR="00CC40B7">
        <w:rPr>
          <w:b w:val="0"/>
          <w:bCs w:val="0"/>
          <w:sz w:val="24"/>
        </w:rPr>
        <w:t>.</w:t>
      </w:r>
    </w:p>
    <w:p w14:paraId="65ED1597" w14:textId="77777777" w:rsidR="00AC5C2F" w:rsidRDefault="00AC5C2F" w:rsidP="00AC5C2F">
      <w:pPr>
        <w:pStyle w:val="BodyText"/>
        <w:rPr>
          <w:b w:val="0"/>
          <w:bCs w:val="0"/>
          <w:sz w:val="24"/>
        </w:rPr>
      </w:pPr>
    </w:p>
    <w:p w14:paraId="53622895" w14:textId="77777777" w:rsidR="00AC5C2F" w:rsidRDefault="00AC5C2F" w:rsidP="00AC5C2F">
      <w:pPr>
        <w:pStyle w:val="BodyText"/>
        <w:rPr>
          <w:bCs w:val="0"/>
          <w:sz w:val="24"/>
        </w:rPr>
      </w:pPr>
    </w:p>
    <w:p w14:paraId="77BBB717" w14:textId="77777777" w:rsidR="006A59E7" w:rsidRDefault="006A59E7" w:rsidP="006A59E7">
      <w:pPr>
        <w:pStyle w:val="BodyText"/>
        <w:rPr>
          <w:bCs w:val="0"/>
          <w:sz w:val="24"/>
        </w:rPr>
      </w:pPr>
    </w:p>
    <w:p w14:paraId="776BDAD3" w14:textId="77777777" w:rsidR="006A59E7" w:rsidRDefault="006A59E7" w:rsidP="006A59E7">
      <w:pPr>
        <w:pStyle w:val="BodyText"/>
        <w:rPr>
          <w:bCs w:val="0"/>
          <w:sz w:val="24"/>
        </w:rPr>
      </w:pPr>
    </w:p>
    <w:p w14:paraId="7FB6B906" w14:textId="77777777" w:rsidR="006A59E7" w:rsidRDefault="006A59E7" w:rsidP="006A59E7">
      <w:pPr>
        <w:pStyle w:val="BodyText"/>
        <w:rPr>
          <w:bCs w:val="0"/>
          <w:sz w:val="24"/>
        </w:rPr>
      </w:pPr>
    </w:p>
    <w:p w14:paraId="1FE51C6F" w14:textId="40A7692C" w:rsidR="00B74F51" w:rsidRDefault="006A59E7" w:rsidP="00B74F51">
      <w:pPr>
        <w:rPr>
          <w:b/>
        </w:rPr>
      </w:pPr>
      <w:r>
        <w:rPr>
          <w:b/>
          <w:sz w:val="28"/>
          <w:szCs w:val="28"/>
        </w:rPr>
        <w:br w:type="page"/>
      </w:r>
      <w:r w:rsidR="00B74F51">
        <w:rPr>
          <w:b/>
        </w:rPr>
        <w:lastRenderedPageBreak/>
        <w:t xml:space="preserve">I. Introduction. </w:t>
      </w:r>
    </w:p>
    <w:p w14:paraId="33808E8A" w14:textId="77777777" w:rsidR="00B74F51" w:rsidRDefault="00B74F51" w:rsidP="000F7201"/>
    <w:p w14:paraId="65E91128" w14:textId="544D4DC7" w:rsidR="00B224F8" w:rsidRDefault="00B74F51" w:rsidP="000F7201">
      <w:r>
        <w:tab/>
      </w:r>
      <w:r w:rsidR="00B224F8">
        <w:t>There is a standard e</w:t>
      </w:r>
      <w:r w:rsidR="00D1471F">
        <w:t xml:space="preserve">pidemiological </w:t>
      </w:r>
      <w:r w:rsidR="00B224F8">
        <w:t>m</w:t>
      </w:r>
      <w:r w:rsidR="00D1471F">
        <w:t>odel</w:t>
      </w:r>
      <w:r w:rsidR="00121F85">
        <w:t xml:space="preserve"> </w:t>
      </w:r>
      <w:r w:rsidR="00B224F8">
        <w:t xml:space="preserve">describing </w:t>
      </w:r>
      <w:r w:rsidR="00D1471F">
        <w:t xml:space="preserve">the growth of </w:t>
      </w:r>
      <w:r w:rsidR="00B224F8">
        <w:t xml:space="preserve">a </w:t>
      </w:r>
      <w:r w:rsidR="00D1471F">
        <w:t xml:space="preserve">virus </w:t>
      </w:r>
      <w:r w:rsidR="000321CC">
        <w:t xml:space="preserve">within a population </w:t>
      </w:r>
      <w:r w:rsidR="00D1471F">
        <w:t xml:space="preserve">once it has taken </w:t>
      </w:r>
      <w:r w:rsidR="00DD5583">
        <w:t>root</w:t>
      </w:r>
      <w:r w:rsidR="006115F3">
        <w:t xml:space="preserve"> </w:t>
      </w:r>
      <w:r w:rsidR="00FD54A5">
        <w:t xml:space="preserve">with </w:t>
      </w:r>
      <w:r w:rsidR="006115F3">
        <w:t xml:space="preserve">an initial “seed” </w:t>
      </w:r>
      <w:r w:rsidR="00FD54A5">
        <w:t xml:space="preserve">from </w:t>
      </w:r>
      <w:r w:rsidR="006115F3">
        <w:t xml:space="preserve">outside of </w:t>
      </w:r>
      <w:r w:rsidR="000321CC">
        <w:t>that</w:t>
      </w:r>
      <w:r w:rsidR="00B224F8">
        <w:t xml:space="preserve"> </w:t>
      </w:r>
      <w:r w:rsidR="006115F3">
        <w:t>population</w:t>
      </w:r>
      <w:r w:rsidR="00DD5583">
        <w:t xml:space="preserve">. </w:t>
      </w:r>
      <w:r w:rsidR="00B224F8">
        <w:t xml:space="preserve">This is how such </w:t>
      </w:r>
      <w:r w:rsidR="00C263BE">
        <w:t xml:space="preserve">a </w:t>
      </w:r>
      <w:r w:rsidR="00B224F8">
        <w:t>model work</w:t>
      </w:r>
      <w:r w:rsidR="00FD54A5">
        <w:t>s</w:t>
      </w:r>
      <w:r w:rsidR="00B224F8">
        <w:t xml:space="preserve">. </w:t>
      </w:r>
    </w:p>
    <w:p w14:paraId="3944213F" w14:textId="71E3D34B" w:rsidR="006115F3" w:rsidRDefault="006115F3" w:rsidP="000F7201">
      <w:r>
        <w:tab/>
      </w:r>
      <w:r w:rsidR="00FD54A5">
        <w:t>Without f</w:t>
      </w:r>
      <w:r w:rsidR="001959E8">
        <w:t xml:space="preserve">urther spread from external sources, </w:t>
      </w:r>
      <w:r w:rsidR="00121F85">
        <w:t>once “seeded”</w:t>
      </w:r>
      <w:r w:rsidR="00D47F8D">
        <w:t>, the</w:t>
      </w:r>
      <w:r w:rsidR="00121F85">
        <w:t xml:space="preserve"> virus cases </w:t>
      </w:r>
      <w:r w:rsidR="00FD54A5">
        <w:t xml:space="preserve">spread </w:t>
      </w:r>
      <w:r w:rsidR="000321CC">
        <w:t>from t</w:t>
      </w:r>
      <w:r>
        <w:t xml:space="preserve">hose </w:t>
      </w:r>
      <w:r w:rsidR="00C263BE">
        <w:t xml:space="preserve">in the population </w:t>
      </w:r>
      <w:r w:rsidR="000321CC">
        <w:t xml:space="preserve">who </w:t>
      </w:r>
      <w:r w:rsidR="00FD54A5">
        <w:t xml:space="preserve">have the virus </w:t>
      </w:r>
      <w:r>
        <w:t xml:space="preserve">to those </w:t>
      </w:r>
      <w:r w:rsidR="00792609">
        <w:t>yet to experience it</w:t>
      </w:r>
      <w:r w:rsidR="001959E8">
        <w:t xml:space="preserve">. </w:t>
      </w:r>
      <w:r>
        <w:t xml:space="preserve">This expands </w:t>
      </w:r>
      <w:r w:rsidR="004F67E4">
        <w:t xml:space="preserve">the </w:t>
      </w:r>
      <w:r>
        <w:t xml:space="preserve">pool of </w:t>
      </w:r>
      <w:r w:rsidR="00792609">
        <w:t xml:space="preserve">active </w:t>
      </w:r>
      <w:r>
        <w:t xml:space="preserve">cases. </w:t>
      </w:r>
      <w:r w:rsidR="001959E8">
        <w:t>At the same time, t</w:t>
      </w:r>
      <w:r>
        <w:t xml:space="preserve">he pool shrinks from recoveries and deaths. A sufficiently large spread rate implies the full population eventually experiences the virus. </w:t>
      </w:r>
    </w:p>
    <w:p w14:paraId="75C72B2C" w14:textId="2777A3A7" w:rsidR="00623BC8" w:rsidRDefault="006115F3" w:rsidP="000F7201">
      <w:r>
        <w:tab/>
        <w:t>Isolati</w:t>
      </w:r>
      <w:r w:rsidR="00C263BE">
        <w:t xml:space="preserve">ng </w:t>
      </w:r>
      <w:r>
        <w:t xml:space="preserve">those with the virus </w:t>
      </w:r>
      <w:r w:rsidR="000321CC">
        <w:t xml:space="preserve">from those without </w:t>
      </w:r>
      <w:r>
        <w:t xml:space="preserve">reduces (or halts) contagion, and if sufficient, then the pool of those </w:t>
      </w:r>
      <w:r w:rsidR="00792609">
        <w:t xml:space="preserve">who have experienced the disease will be </w:t>
      </w:r>
      <w:r w:rsidR="00405212">
        <w:t>smaller</w:t>
      </w:r>
      <w:r w:rsidR="00792609">
        <w:t xml:space="preserve">. </w:t>
      </w:r>
      <w:r w:rsidR="007A2F74">
        <w:t>Th</w:t>
      </w:r>
      <w:r w:rsidR="001959E8">
        <w:t>e differential equation</w:t>
      </w:r>
      <w:r w:rsidR="00792609">
        <w:t xml:space="preserve">s </w:t>
      </w:r>
      <w:r w:rsidR="001959E8">
        <w:t xml:space="preserve">that result from these processes </w:t>
      </w:r>
      <w:r w:rsidR="007A2F74">
        <w:t xml:space="preserve">depend on several parameters </w:t>
      </w:r>
      <w:r w:rsidR="001959E8">
        <w:t xml:space="preserve">but </w:t>
      </w:r>
      <w:r w:rsidR="00792609">
        <w:t xml:space="preserve">even </w:t>
      </w:r>
      <w:r w:rsidR="001959E8">
        <w:t xml:space="preserve">in </w:t>
      </w:r>
      <w:r w:rsidR="00792609">
        <w:t xml:space="preserve">their </w:t>
      </w:r>
      <w:r w:rsidR="001959E8">
        <w:t>simplest form produce a “humped” shape distribution of active cases and a monotonically increasing cumulative function of total disease cases</w:t>
      </w:r>
      <w:r w:rsidR="00121F85">
        <w:t xml:space="preserve"> that is “S” shaped</w:t>
      </w:r>
      <w:r w:rsidR="00903BD7">
        <w:t xml:space="preserve"> (Appendix I)</w:t>
      </w:r>
      <w:r w:rsidR="001959E8">
        <w:t>.</w:t>
      </w:r>
      <w:r w:rsidR="00623BC8">
        <w:t xml:space="preserve"> </w:t>
      </w:r>
      <w:r w:rsidR="00623BC8">
        <w:rPr>
          <w:rStyle w:val="FootnoteReference"/>
        </w:rPr>
        <w:footnoteReference w:id="1"/>
      </w:r>
      <w:r w:rsidR="00470EA3">
        <w:t xml:space="preserve"> </w:t>
      </w:r>
    </w:p>
    <w:p w14:paraId="0ADCA6FE" w14:textId="77777777" w:rsidR="00623BC8" w:rsidRDefault="00623BC8" w:rsidP="000F7201"/>
    <w:p w14:paraId="1F66C6CB" w14:textId="5599510C" w:rsidR="006115F3" w:rsidRDefault="006115F3" w:rsidP="000F7201">
      <w:r>
        <w:tab/>
      </w:r>
      <w:r w:rsidR="00792609">
        <w:t>The determinants of these parameters have been speculated about, but with</w:t>
      </w:r>
      <w:r w:rsidR="00121F85">
        <w:t xml:space="preserve"> limited </w:t>
      </w:r>
      <w:r w:rsidR="00792609">
        <w:t xml:space="preserve">research to date. </w:t>
      </w:r>
      <w:r w:rsidR="007A2F74">
        <w:t xml:space="preserve">For example, little </w:t>
      </w:r>
      <w:r>
        <w:t xml:space="preserve">is known about the process of “seeding”. </w:t>
      </w:r>
      <w:r w:rsidR="007A2F74">
        <w:t xml:space="preserve">Do </w:t>
      </w:r>
      <w:r>
        <w:t xml:space="preserve">larger populations experience the same </w:t>
      </w:r>
      <w:r w:rsidR="00C263BE">
        <w:t xml:space="preserve">absolute </w:t>
      </w:r>
      <w:r>
        <w:t xml:space="preserve">seeding as smaller ones or do larger populations inherently experience a higher inflow of </w:t>
      </w:r>
      <w:r w:rsidR="00C25DFE">
        <w:t xml:space="preserve">initial </w:t>
      </w:r>
      <w:r>
        <w:t>contaminated members</w:t>
      </w:r>
      <w:r w:rsidR="00C263BE">
        <w:t xml:space="preserve"> (a constant seeding rate)</w:t>
      </w:r>
      <w:r>
        <w:t xml:space="preserve">? </w:t>
      </w:r>
    </w:p>
    <w:p w14:paraId="44E519E2" w14:textId="21152F4F" w:rsidR="007A2F74" w:rsidRDefault="006115F3" w:rsidP="000F7201">
      <w:r>
        <w:tab/>
        <w:t xml:space="preserve">The spread rate </w:t>
      </w:r>
      <w:r w:rsidR="000B6EB4">
        <w:t xml:space="preserve">is </w:t>
      </w:r>
      <w:r>
        <w:t xml:space="preserve">also </w:t>
      </w:r>
      <w:r w:rsidR="000B6EB4">
        <w:t>complicated</w:t>
      </w:r>
      <w:r w:rsidR="00E664F1">
        <w:t xml:space="preserve">. </w:t>
      </w:r>
      <w:r>
        <w:t>Populations with greater social interaction, living close to each</w:t>
      </w:r>
      <w:r w:rsidR="00702E21">
        <w:t>,</w:t>
      </w:r>
      <w:r>
        <w:t xml:space="preserve"> other seemingly should have greater spread rates.</w:t>
      </w:r>
      <w:r w:rsidR="00466AA0">
        <w:t xml:space="preserve"> The </w:t>
      </w:r>
      <w:r w:rsidR="000B6EB4">
        <w:t xml:space="preserve">spread </w:t>
      </w:r>
      <w:r w:rsidR="000B6EB4" w:rsidRPr="00C25DFE">
        <w:rPr>
          <w:i/>
        </w:rPr>
        <w:t>r</w:t>
      </w:r>
      <w:r w:rsidR="00466AA0" w:rsidRPr="00C25DFE">
        <w:rPr>
          <w:i/>
        </w:rPr>
        <w:t>ate</w:t>
      </w:r>
      <w:r w:rsidR="00466AA0">
        <w:t xml:space="preserve"> </w:t>
      </w:r>
      <w:r w:rsidR="00762E45">
        <w:t xml:space="preserve">(from sick to healthy) </w:t>
      </w:r>
      <w:r w:rsidR="00466AA0">
        <w:t xml:space="preserve">is </w:t>
      </w:r>
      <w:r w:rsidR="00C263BE">
        <w:t xml:space="preserve">also </w:t>
      </w:r>
      <w:r w:rsidR="00466AA0">
        <w:t>not constant but must intrinsica</w:t>
      </w:r>
      <w:r w:rsidR="00762E45">
        <w:t xml:space="preserve">lly decrease as those infected grow </w:t>
      </w:r>
      <w:r w:rsidR="00466AA0">
        <w:t>relative to those not infected</w:t>
      </w:r>
      <w:r w:rsidR="00E664F1">
        <w:t xml:space="preserve">. </w:t>
      </w:r>
    </w:p>
    <w:p w14:paraId="241EDF86" w14:textId="77777777" w:rsidR="007A2F74" w:rsidRDefault="007A2F74" w:rsidP="000F7201">
      <w:r>
        <w:tab/>
        <w:t xml:space="preserve">Then there is the effectiveness of isolation. If those with the virus are easily identified, then isolation can be </w:t>
      </w:r>
      <w:r w:rsidR="00EE3DF2">
        <w:t xml:space="preserve">fully effective. On the other hand, if incomplete testing inhibits identification then </w:t>
      </w:r>
      <w:r>
        <w:t>isolation is far less effective</w:t>
      </w:r>
      <w:r w:rsidR="00EE3DF2">
        <w:t xml:space="preserve"> </w:t>
      </w:r>
      <w:r w:rsidR="00FD54A5">
        <w:t>at</w:t>
      </w:r>
      <w:r w:rsidR="00EE3DF2">
        <w:t xml:space="preserve"> dampening contagion</w:t>
      </w:r>
      <w:r>
        <w:t xml:space="preserve">. </w:t>
      </w:r>
    </w:p>
    <w:p w14:paraId="4F71EB26" w14:textId="47F0C073" w:rsidR="007A2F74" w:rsidRDefault="007A2F74" w:rsidP="000F7201">
      <w:r>
        <w:tab/>
      </w:r>
      <w:r w:rsidR="00466AA0">
        <w:t>All t</w:t>
      </w:r>
      <w:r>
        <w:t xml:space="preserve">hese parameters </w:t>
      </w:r>
      <w:r w:rsidR="00466AA0">
        <w:t>come together to y</w:t>
      </w:r>
      <w:r>
        <w:t xml:space="preserve">ield a solution to the model </w:t>
      </w:r>
      <w:r w:rsidR="00762E45">
        <w:t>whose “humped” shape</w:t>
      </w:r>
      <w:r w:rsidR="00F76F46">
        <w:t xml:space="preserve">d active cases can be very peaked or flat. The “S” shaped cumulative number of cases will then </w:t>
      </w:r>
      <w:r w:rsidR="00D47F8D">
        <w:t xml:space="preserve">eventually </w:t>
      </w:r>
      <w:r w:rsidR="00F76F46">
        <w:t xml:space="preserve">be </w:t>
      </w:r>
      <w:r w:rsidR="00762E45">
        <w:t xml:space="preserve">a large or small share of the population. </w:t>
      </w:r>
      <w:r w:rsidR="00C263BE">
        <w:t xml:space="preserve">A survey of SSRN on 3/30/20 revealed 365 papers dealing with </w:t>
      </w:r>
      <w:r w:rsidR="005E63FE">
        <w:t>Covid-19</w:t>
      </w:r>
      <w:r w:rsidR="00C263BE">
        <w:t xml:space="preserve"> (jointly with Lancet). Many of these involve</w:t>
      </w:r>
      <w:r w:rsidR="00FD54A5">
        <w:t xml:space="preserve"> pure</w:t>
      </w:r>
      <w:r w:rsidR="00C263BE">
        <w:t xml:space="preserve"> medical issues such as severity and treatment, but there are a number of papers that experiment with the model parameters discussed above, or use data to in some way parameterize them. </w:t>
      </w:r>
      <w:r w:rsidR="00F30DF8">
        <w:t>R</w:t>
      </w:r>
      <w:r w:rsidR="00762E45">
        <w:t>ecent example</w:t>
      </w:r>
      <w:r w:rsidR="00F30DF8">
        <w:t>s</w:t>
      </w:r>
      <w:r w:rsidR="00762E45">
        <w:t xml:space="preserve"> of such modeling i</w:t>
      </w:r>
      <w:r w:rsidR="00F30DF8">
        <w:t>nclude</w:t>
      </w:r>
      <w:r w:rsidR="00762E45">
        <w:t xml:space="preserve"> the Imperial College report (</w:t>
      </w:r>
      <w:r w:rsidR="00297276">
        <w:t>3/16/</w:t>
      </w:r>
      <w:r w:rsidR="00762E45">
        <w:t>20)</w:t>
      </w:r>
      <w:r w:rsidR="00F30DF8">
        <w:t xml:space="preserve">, Harris (2020) and </w:t>
      </w:r>
      <w:proofErr w:type="spellStart"/>
      <w:r w:rsidR="00F30DF8">
        <w:t>Wolfel</w:t>
      </w:r>
      <w:proofErr w:type="spellEnd"/>
      <w:r w:rsidR="00F30DF8">
        <w:t xml:space="preserve"> et al. (2020)</w:t>
      </w:r>
      <w:r w:rsidR="00E664F1">
        <w:t xml:space="preserve">. </w:t>
      </w:r>
    </w:p>
    <w:p w14:paraId="6056F7FB" w14:textId="77777777" w:rsidR="00762E45" w:rsidRDefault="00762E45" w:rsidP="000F7201"/>
    <w:p w14:paraId="03743699" w14:textId="77777777" w:rsidR="007F22AD" w:rsidRDefault="007F22AD" w:rsidP="000F7201"/>
    <w:p w14:paraId="1C5F39F7" w14:textId="6389FC01" w:rsidR="007F22AD" w:rsidRDefault="007F22AD" w:rsidP="007F22AD">
      <w:pPr>
        <w:rPr>
          <w:b/>
        </w:rPr>
      </w:pPr>
      <w:r>
        <w:rPr>
          <w:b/>
        </w:rPr>
        <w:t xml:space="preserve">II. </w:t>
      </w:r>
      <w:r w:rsidR="00D1471F">
        <w:rPr>
          <w:b/>
        </w:rPr>
        <w:t xml:space="preserve">Alternative Cross-Section Modeling of </w:t>
      </w:r>
      <w:r w:rsidR="005E63FE">
        <w:rPr>
          <w:b/>
        </w:rPr>
        <w:t>Covid-19</w:t>
      </w:r>
      <w:r>
        <w:rPr>
          <w:b/>
        </w:rPr>
        <w:t xml:space="preserve">   </w:t>
      </w:r>
      <w:r w:rsidRPr="00020451">
        <w:rPr>
          <w:b/>
        </w:rPr>
        <w:t xml:space="preserve"> </w:t>
      </w:r>
    </w:p>
    <w:p w14:paraId="0C3F7CEB" w14:textId="77777777" w:rsidR="007F22AD" w:rsidRDefault="007F22AD" w:rsidP="007F22AD">
      <w:pPr>
        <w:rPr>
          <w:b/>
        </w:rPr>
      </w:pPr>
    </w:p>
    <w:p w14:paraId="7AA80215" w14:textId="6C8D9964" w:rsidR="002E0402" w:rsidRDefault="00272852" w:rsidP="008F79A9">
      <w:r>
        <w:tab/>
      </w:r>
      <w:r w:rsidR="002E0402">
        <w:t xml:space="preserve">Our approach </w:t>
      </w:r>
      <w:r w:rsidR="00297276">
        <w:t xml:space="preserve">in this paper is not </w:t>
      </w:r>
      <w:r w:rsidR="002E0402">
        <w:t xml:space="preserve">to </w:t>
      </w:r>
      <w:r w:rsidR="00FD54A5">
        <w:t xml:space="preserve">directly </w:t>
      </w:r>
      <w:r w:rsidR="002E0402">
        <w:t xml:space="preserve">model the </w:t>
      </w:r>
      <w:r w:rsidR="00297276">
        <w:t>process by which active infections spread, grow and eventually decline. Instead we focus on characterizing the function that represents the cumulative number of cases</w:t>
      </w:r>
      <w:r w:rsidR="008530A2">
        <w:t xml:space="preserve"> over time – the outcome</w:t>
      </w:r>
      <w:r w:rsidR="00297276">
        <w:t xml:space="preserve">. We do this across a wide </w:t>
      </w:r>
      <w:r w:rsidR="00297276">
        <w:lastRenderedPageBreak/>
        <w:t xml:space="preserve">range of geographies </w:t>
      </w:r>
      <w:r w:rsidR="000321CC">
        <w:t xml:space="preserve">in the US </w:t>
      </w:r>
      <w:r w:rsidR="00297276">
        <w:t xml:space="preserve">(MSA, counties) and test whether there are systematic empirical patterns in how steeply sloped </w:t>
      </w:r>
      <w:r w:rsidR="000321CC">
        <w:t xml:space="preserve">and how </w:t>
      </w:r>
      <w:r w:rsidR="00297276">
        <w:t>high th</w:t>
      </w:r>
      <w:r w:rsidR="008530A2">
        <w:t>is</w:t>
      </w:r>
      <w:r w:rsidR="00297276">
        <w:t xml:space="preserve"> cumulative function </w:t>
      </w:r>
      <w:r w:rsidR="003E3101">
        <w:t xml:space="preserve">has so far </w:t>
      </w:r>
      <w:r w:rsidR="000321CC">
        <w:t>rise</w:t>
      </w:r>
      <w:r w:rsidR="003E3101">
        <w:t>n</w:t>
      </w:r>
      <w:r w:rsidR="000321CC">
        <w:t xml:space="preserve">. This </w:t>
      </w:r>
      <w:r w:rsidR="00297276">
        <w:t>is estimated through 3/</w:t>
      </w:r>
      <w:r w:rsidR="00F76F46">
        <w:t>31</w:t>
      </w:r>
      <w:r w:rsidR="00297276">
        <w:t xml:space="preserve">/20. </w:t>
      </w:r>
      <w:r w:rsidR="008530A2">
        <w:t>We use a class of power function</w:t>
      </w:r>
      <w:r w:rsidR="00FD54A5">
        <w:t>s for the</w:t>
      </w:r>
      <w:r w:rsidR="008530A2">
        <w:t xml:space="preserve"> model where the cumulative number of cases (to date) </w:t>
      </w:r>
      <w:r w:rsidR="006C7126">
        <w:t xml:space="preserve">can </w:t>
      </w:r>
      <w:r w:rsidR="008530A2">
        <w:t>increase over time</w:t>
      </w:r>
      <w:r w:rsidR="00F76F46">
        <w:t xml:space="preserve"> at either an increasing or decreasing rate</w:t>
      </w:r>
      <w:r w:rsidR="006C7126">
        <w:t xml:space="preserve"> – depending on the </w:t>
      </w:r>
      <w:r w:rsidR="00D47F8D">
        <w:t>value of the power parameter</w:t>
      </w:r>
      <w:r w:rsidR="008530A2">
        <w:t xml:space="preserve">. </w:t>
      </w:r>
    </w:p>
    <w:p w14:paraId="1A64E11C" w14:textId="77777777" w:rsidR="002E0402" w:rsidRDefault="002E0402" w:rsidP="008F79A9"/>
    <w:p w14:paraId="2B1C9DDB" w14:textId="27FEA3C8" w:rsidR="00106B7F" w:rsidRDefault="002E0402" w:rsidP="008F79A9">
      <w:r>
        <w:tab/>
      </w:r>
      <w:r w:rsidR="006C7126">
        <w:t xml:space="preserve">Our </w:t>
      </w:r>
      <w:r>
        <w:t>Model is show</w:t>
      </w:r>
      <w:r w:rsidR="0086140B">
        <w:t>n</w:t>
      </w:r>
      <w:r>
        <w:t xml:space="preserve"> below in equation (1). If the parameter </w:t>
      </w:r>
      <w:r w:rsidR="00106B7F" w:rsidRPr="00C81F29">
        <w:rPr>
          <w:position w:val="-6"/>
        </w:rPr>
        <w:object w:dxaOrig="240" w:dyaOrig="220" w14:anchorId="11A77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5pt" o:ole="">
            <v:imagedata r:id="rId13" o:title=""/>
          </v:shape>
          <o:OLEObject Type="Embed" ProgID="Equation.3" ShapeID="_x0000_i1025" DrawAspect="Content" ObjectID="_1654841853" r:id="rId14"/>
        </w:object>
      </w:r>
      <w:r>
        <w:t xml:space="preserve">exceeds one then </w:t>
      </w:r>
      <w:r w:rsidR="00106B7F">
        <w:t xml:space="preserve">the </w:t>
      </w:r>
      <w:r w:rsidR="00D3534A">
        <w:t xml:space="preserve">cumulative </w:t>
      </w:r>
      <w:r w:rsidR="001319B6">
        <w:t>num</w:t>
      </w:r>
      <w:r w:rsidR="00106B7F">
        <w:t xml:space="preserve">ber </w:t>
      </w:r>
      <w:r w:rsidR="00D3534A">
        <w:t>of cases</w:t>
      </w:r>
      <w:r w:rsidR="0086140B">
        <w:t xml:space="preserve"> is</w:t>
      </w:r>
      <w:r w:rsidR="00D3534A">
        <w:t xml:space="preserve"> not only </w:t>
      </w:r>
      <w:r w:rsidR="00106B7F">
        <w:t>growing over time</w:t>
      </w:r>
      <w:r w:rsidR="00E65BEF">
        <w:t>, but it is growing at an increasing rate</w:t>
      </w:r>
      <w:r w:rsidR="00D3534A">
        <w:t xml:space="preserve">, so that </w:t>
      </w:r>
      <w:r w:rsidR="0086140B">
        <w:t xml:space="preserve">total cases </w:t>
      </w:r>
      <w:r w:rsidR="00106B7F">
        <w:t>curve upward</w:t>
      </w:r>
      <w:r w:rsidR="004D5CBD">
        <w:t xml:space="preserve">. </w:t>
      </w:r>
      <w:r w:rsidR="00106B7F">
        <w:t xml:space="preserve">Or course over the long run this </w:t>
      </w:r>
      <w:r w:rsidR="006C7126">
        <w:t xml:space="preserve">is inconsistent with the “S” </w:t>
      </w:r>
      <w:r w:rsidR="00D47F8D">
        <w:t xml:space="preserve">shaped </w:t>
      </w:r>
      <w:r w:rsidR="006C7126">
        <w:t xml:space="preserve">epidemiological model </w:t>
      </w:r>
      <w:r w:rsidR="00106B7F">
        <w:t xml:space="preserve">as </w:t>
      </w:r>
      <w:r w:rsidR="0086140B">
        <w:t xml:space="preserve">total cases </w:t>
      </w:r>
      <w:r w:rsidR="006C7126">
        <w:t xml:space="preserve">eventually must asymptote to the total </w:t>
      </w:r>
      <w:r w:rsidR="00106B7F">
        <w:t>population</w:t>
      </w:r>
      <w:r w:rsidR="006C7126">
        <w:t xml:space="preserve"> (or less)</w:t>
      </w:r>
      <w:r w:rsidR="004D5CBD">
        <w:t xml:space="preserve">. </w:t>
      </w:r>
      <w:r w:rsidR="00431320">
        <w:t>I</w:t>
      </w:r>
      <w:r w:rsidR="004D5CBD">
        <w:t xml:space="preserve">nitially, </w:t>
      </w:r>
      <w:r w:rsidR="006C7126">
        <w:t xml:space="preserve">during early stages of the disease </w:t>
      </w:r>
      <w:r w:rsidR="00405212">
        <w:t xml:space="preserve">parameter </w:t>
      </w:r>
      <w:r w:rsidR="004D5CBD">
        <w:t xml:space="preserve">values greater than 1 </w:t>
      </w:r>
      <w:r w:rsidR="006C7126">
        <w:t xml:space="preserve">may be seen – </w:t>
      </w:r>
      <w:r w:rsidR="004D5CBD">
        <w:t>reflect</w:t>
      </w:r>
      <w:r w:rsidR="006C7126">
        <w:t xml:space="preserve">ing </w:t>
      </w:r>
      <w:r w:rsidR="004D5CBD">
        <w:t xml:space="preserve">some </w:t>
      </w:r>
      <w:r w:rsidR="006C7126">
        <w:t xml:space="preserve">degree </w:t>
      </w:r>
      <w:r w:rsidR="004D5CBD">
        <w:t xml:space="preserve">of </w:t>
      </w:r>
      <w:r w:rsidR="006C7126">
        <w:t>disease</w:t>
      </w:r>
      <w:r w:rsidR="004D5CBD">
        <w:t xml:space="preserve"> momentum</w:t>
      </w:r>
      <w:r w:rsidR="006C7126">
        <w:t xml:space="preserve">. </w:t>
      </w:r>
      <w:r w:rsidR="004D5CBD">
        <w:t>When</w:t>
      </w:r>
      <w:r w:rsidR="004D5CBD" w:rsidRPr="00C81F29">
        <w:rPr>
          <w:position w:val="-6"/>
        </w:rPr>
        <w:object w:dxaOrig="240" w:dyaOrig="220" w14:anchorId="602D5061">
          <v:shape id="_x0000_i1026" type="#_x0000_t75" style="width:12pt;height:11.5pt" o:ole="">
            <v:imagedata r:id="rId13" o:title=""/>
          </v:shape>
          <o:OLEObject Type="Embed" ProgID="Equation.3" ShapeID="_x0000_i1026" DrawAspect="Content" ObjectID="_1654841854" r:id="rId15"/>
        </w:object>
      </w:r>
      <w:r w:rsidR="004D5CBD">
        <w:t xml:space="preserve">is </w:t>
      </w:r>
      <w:r w:rsidR="00106B7F">
        <w:t>less than one (but</w:t>
      </w:r>
      <w:r w:rsidR="006C7126">
        <w:t xml:space="preserve"> still</w:t>
      </w:r>
      <w:r w:rsidR="00106B7F">
        <w:t xml:space="preserve"> greater than zero)</w:t>
      </w:r>
      <w:r w:rsidR="004D5CBD">
        <w:t xml:space="preserve"> </w:t>
      </w:r>
      <w:r w:rsidR="00106B7F">
        <w:t xml:space="preserve">the </w:t>
      </w:r>
      <w:r w:rsidR="006C7126">
        <w:t>growth rate in cases s</w:t>
      </w:r>
      <w:r w:rsidR="0086140B">
        <w:t xml:space="preserve">lows over time, </w:t>
      </w:r>
      <w:r w:rsidR="00106B7F">
        <w:t>eventually approach</w:t>
      </w:r>
      <w:r w:rsidR="0086140B">
        <w:t>ing</w:t>
      </w:r>
      <w:r w:rsidR="00106B7F">
        <w:t xml:space="preserve"> zero as total</w:t>
      </w:r>
      <w:r w:rsidR="001319B6">
        <w:t xml:space="preserve"> number</w:t>
      </w:r>
      <w:r w:rsidR="00106B7F">
        <w:t xml:space="preserve"> cases peak</w:t>
      </w:r>
      <w:r w:rsidR="0086140B">
        <w:t>s</w:t>
      </w:r>
      <w:r w:rsidR="00106B7F">
        <w:t xml:space="preserve"> and flatten</w:t>
      </w:r>
      <w:r w:rsidR="0086140B">
        <w:t>s</w:t>
      </w:r>
      <w:r w:rsidR="00106B7F">
        <w:t xml:space="preserve">. </w:t>
      </w:r>
      <w:r w:rsidR="006C7126">
        <w:t xml:space="preserve">This suggests perhaps that early on </w:t>
      </w:r>
      <w:r w:rsidR="00E07EC5" w:rsidRPr="00C81F29">
        <w:rPr>
          <w:position w:val="-6"/>
        </w:rPr>
        <w:object w:dxaOrig="240" w:dyaOrig="220" w14:anchorId="0A716660">
          <v:shape id="_x0000_i1027" type="#_x0000_t75" style="width:12pt;height:11.5pt" o:ole="">
            <v:imagedata r:id="rId13" o:title=""/>
          </v:shape>
          <o:OLEObject Type="Embed" ProgID="Equation.3" ShapeID="_x0000_i1027" DrawAspect="Content" ObjectID="_1654841855" r:id="rId16"/>
        </w:object>
      </w:r>
      <w:r w:rsidR="006C7126">
        <w:t xml:space="preserve"> may be greater or equal to one, but later on it drops </w:t>
      </w:r>
      <w:r w:rsidR="00405212">
        <w:t xml:space="preserve">to </w:t>
      </w:r>
      <w:r w:rsidR="006C7126">
        <w:t xml:space="preserve">below 1.  </w:t>
      </w:r>
    </w:p>
    <w:p w14:paraId="03E09442" w14:textId="684FEBA1" w:rsidR="00B87746" w:rsidRDefault="00106B7F" w:rsidP="008F79A9">
      <w:r>
        <w:tab/>
      </w:r>
      <w:r w:rsidR="0086140B">
        <w:t xml:space="preserve">In Model 1, the </w:t>
      </w:r>
      <w:r w:rsidR="00E07EC5">
        <w:t xml:space="preserve">curve </w:t>
      </w:r>
      <w:r w:rsidR="0086140B">
        <w:t xml:space="preserve">parameter </w:t>
      </w:r>
      <w:r w:rsidR="0086140B" w:rsidRPr="00C81F29">
        <w:rPr>
          <w:position w:val="-6"/>
        </w:rPr>
        <w:object w:dxaOrig="240" w:dyaOrig="220" w14:anchorId="53CAC2D4">
          <v:shape id="_x0000_i1028" type="#_x0000_t75" style="width:12pt;height:11.5pt" o:ole="">
            <v:imagedata r:id="rId13" o:title=""/>
          </v:shape>
          <o:OLEObject Type="Embed" ProgID="Equation.3" ShapeID="_x0000_i1028" DrawAspect="Content" ObjectID="_1654841856" r:id="rId17"/>
        </w:object>
      </w:r>
      <w:r w:rsidR="0086140B">
        <w:t xml:space="preserve">is </w:t>
      </w:r>
      <w:r w:rsidR="004D5CBD">
        <w:t xml:space="preserve">assumed </w:t>
      </w:r>
      <w:r w:rsidR="0086140B">
        <w:t>the same across geographies</w:t>
      </w:r>
      <w:r w:rsidR="000321CC">
        <w:t xml:space="preserve"> (i)</w:t>
      </w:r>
      <w:r w:rsidR="00BE6671">
        <w:t xml:space="preserve"> – cases differ </w:t>
      </w:r>
      <w:r w:rsidR="00431320">
        <w:t xml:space="preserve">across areas </w:t>
      </w:r>
      <w:r w:rsidR="00BE6671">
        <w:t>purely from onset timing</w:t>
      </w:r>
      <w:r w:rsidR="0086140B">
        <w:t xml:space="preserve">. </w:t>
      </w:r>
      <w:r w:rsidR="001319B6">
        <w:t>A</w:t>
      </w:r>
      <w:r>
        <w:t>rea characteristics (X</w:t>
      </w:r>
      <w:r w:rsidR="000321CC">
        <w:rPr>
          <w:vertAlign w:val="subscript"/>
        </w:rPr>
        <w:t>i</w:t>
      </w:r>
      <w:r>
        <w:t>)</w:t>
      </w:r>
      <w:r w:rsidR="00D47F8D">
        <w:t xml:space="preserve">, however, </w:t>
      </w:r>
      <w:r>
        <w:t>multiplicatively s</w:t>
      </w:r>
      <w:r w:rsidR="001319B6">
        <w:t>cale</w:t>
      </w:r>
      <w:r>
        <w:t xml:space="preserve"> the curve</w:t>
      </w:r>
      <w:r w:rsidR="00834B50">
        <w:t>, with the value of λ determining the magnitude of the scaling. The scaling that results f</w:t>
      </w:r>
      <w:r w:rsidR="0086140B">
        <w:t xml:space="preserve">rom </w:t>
      </w:r>
      <w:r w:rsidR="00834B50">
        <w:t xml:space="preserve">a </w:t>
      </w:r>
      <w:r>
        <w:t xml:space="preserve">unit increase in </w:t>
      </w:r>
      <w:r w:rsidR="00E65BEF">
        <w:t>a</w:t>
      </w:r>
      <w:r>
        <w:t xml:space="preserve"> X</w:t>
      </w:r>
      <w:r w:rsidR="000321CC">
        <w:rPr>
          <w:vertAlign w:val="subscript"/>
        </w:rPr>
        <w:t>i</w:t>
      </w:r>
      <w:r>
        <w:t xml:space="preserve"> variable will </w:t>
      </w:r>
      <w:r w:rsidR="0084091C">
        <w:t>shift the case curve</w:t>
      </w:r>
      <w:r w:rsidR="00834B50">
        <w:t xml:space="preserve"> the same </w:t>
      </w:r>
      <w:r w:rsidR="00B87746">
        <w:t xml:space="preserve">regardless of the number of days that have passed (or cases contracted). </w:t>
      </w:r>
      <w:r w:rsidR="0086140B">
        <w:t>Put differently</w:t>
      </w:r>
      <w:r w:rsidR="00B87746">
        <w:t xml:space="preserve">, the ratio of cases between two areas with different X values will always be constant as the disease progresses. Figure 1 illustrates how the curve will change for positive and negative shifts in X (presuming that </w:t>
      </w:r>
      <w:r w:rsidR="00FC5109">
        <w:t>λ</w:t>
      </w:r>
      <w:r w:rsidR="00B87746">
        <w:t xml:space="preserve"> is estimated to be positive</w:t>
      </w:r>
      <w:r w:rsidR="00834B50">
        <w:t>)</w:t>
      </w:r>
      <w:r w:rsidR="00E664F1">
        <w:t xml:space="preserve">. </w:t>
      </w:r>
      <w:r w:rsidR="00D83F8E">
        <w:t>We will also examine two versi</w:t>
      </w:r>
      <w:r w:rsidR="00D47F8D">
        <w:t xml:space="preserve">ons of the curve. In versions A, </w:t>
      </w:r>
      <w:r w:rsidR="00D83F8E">
        <w:t>the curve starts at day 1. In version B we examine the curve only after some initial number of days has passed since the first recorded contamination.</w:t>
      </w:r>
      <w:r w:rsidR="00120A38">
        <w:t xml:space="preserve"> </w:t>
      </w:r>
      <w:r w:rsidR="00E65BEF">
        <w:t>The days are based upon when the number of cases at that date reaches some minimum number.</w:t>
      </w:r>
      <w:r w:rsidR="006F3750">
        <w:t xml:space="preserve"> </w:t>
      </w:r>
      <w:r w:rsidR="00D83F8E">
        <w:t xml:space="preserve">Figure 2 shows how the </w:t>
      </w:r>
      <w:r w:rsidR="006F3750">
        <w:t xml:space="preserve">curves </w:t>
      </w:r>
      <w:r w:rsidR="00D83F8E">
        <w:t>look starting the curve at a later date</w:t>
      </w:r>
      <w:r w:rsidR="006F3750">
        <w:t xml:space="preserve"> (that differs depending on when the cases exceed some amount)</w:t>
      </w:r>
      <w:r w:rsidR="00D83F8E">
        <w:t xml:space="preserve">. </w:t>
      </w:r>
    </w:p>
    <w:p w14:paraId="59A45635" w14:textId="77777777" w:rsidR="00FC5109" w:rsidRDefault="00FC5109" w:rsidP="008F79A9"/>
    <w:p w14:paraId="108C0BDE" w14:textId="40A0F8B9" w:rsidR="00B87746" w:rsidRDefault="00FC5109" w:rsidP="008F79A9">
      <w:r>
        <w:tab/>
        <w:t>To statistically estimate the values of λ (and λ</w:t>
      </w:r>
      <w:r w:rsidRPr="00FC5109">
        <w:rPr>
          <w:vertAlign w:val="subscript"/>
        </w:rPr>
        <w:t>0</w:t>
      </w:r>
      <w:r>
        <w:t xml:space="preserve"> ) as well as </w:t>
      </w:r>
      <w:r w:rsidRPr="00C81F29">
        <w:rPr>
          <w:position w:val="-6"/>
        </w:rPr>
        <w:object w:dxaOrig="240" w:dyaOrig="220" w14:anchorId="24A12B37">
          <v:shape id="_x0000_i1029" type="#_x0000_t75" style="width:12pt;height:11.5pt" o:ole="">
            <v:imagedata r:id="rId13" o:title=""/>
          </v:shape>
          <o:OLEObject Type="Embed" ProgID="Equation.3" ShapeID="_x0000_i1029" DrawAspect="Content" ObjectID="_1654841857" r:id="rId18"/>
        </w:object>
      </w:r>
      <w:r>
        <w:t xml:space="preserve">we take natural logs and transform the equation – as in the second line of (1). </w:t>
      </w:r>
      <w:r w:rsidR="00910DD5">
        <w:t xml:space="preserve">If the original source of equation error is multiplicative and normal, then in the transformed equation it will be additive and log </w:t>
      </w:r>
      <w:r w:rsidR="00AC2BF4">
        <w:t>n</w:t>
      </w:r>
      <w:r w:rsidR="00910DD5">
        <w:t>ormal. The statistical standard error of the equation will likely be proportional to the number of cases, but this is take</w:t>
      </w:r>
      <w:r w:rsidR="00CC3E28">
        <w:t>n</w:t>
      </w:r>
      <w:r w:rsidR="00910DD5">
        <w:t xml:space="preserve"> care of by using Robust Standard Errors</w:t>
      </w:r>
      <w:r w:rsidR="00150311">
        <w:t xml:space="preserve"> (clustered when using county data)</w:t>
      </w:r>
      <w:r w:rsidR="00910DD5">
        <w:t xml:space="preserve">. </w:t>
      </w:r>
    </w:p>
    <w:p w14:paraId="67B00A9A" w14:textId="77777777" w:rsidR="00B24C2F" w:rsidRDefault="00B24C2F" w:rsidP="008F79A9"/>
    <w:p w14:paraId="28D3C093" w14:textId="2499F070" w:rsidR="004D507C" w:rsidRDefault="007A2264" w:rsidP="008F79A9">
      <w:r w:rsidRPr="00431320">
        <w:rPr>
          <w:position w:val="-124"/>
        </w:rPr>
        <w:object w:dxaOrig="8419" w:dyaOrig="2659" w14:anchorId="56039B8B">
          <v:shape id="_x0000_i1033" type="#_x0000_t75" style="width:454.5pt;height:141.5pt" o:ole="">
            <v:imagedata r:id="rId19" o:title=""/>
          </v:shape>
          <o:OLEObject Type="Embed" ProgID="Equation.3" ShapeID="_x0000_i1033" DrawAspect="Content" ObjectID="_1654841858" r:id="rId20"/>
        </w:object>
      </w:r>
    </w:p>
    <w:p w14:paraId="09B6A777" w14:textId="77777777" w:rsidR="00E07EC5" w:rsidRDefault="00E07EC5" w:rsidP="001A4A1B"/>
    <w:p w14:paraId="4009AC1C" w14:textId="77777777" w:rsidR="006F3750" w:rsidRDefault="006F3750" w:rsidP="008F79A9">
      <w:pPr>
        <w:rPr>
          <w:b/>
        </w:rPr>
      </w:pPr>
    </w:p>
    <w:p w14:paraId="394F991B" w14:textId="77777777" w:rsidR="006F3750" w:rsidRDefault="006F3750" w:rsidP="008F79A9">
      <w:pPr>
        <w:rPr>
          <w:b/>
        </w:rPr>
      </w:pPr>
    </w:p>
    <w:p w14:paraId="5AC6DA7A" w14:textId="77777777" w:rsidR="006F3750" w:rsidRDefault="006F3750" w:rsidP="008F79A9">
      <w:pPr>
        <w:rPr>
          <w:b/>
        </w:rPr>
      </w:pPr>
    </w:p>
    <w:p w14:paraId="5369CD8F" w14:textId="77777777" w:rsidR="006F3750" w:rsidRDefault="006F3750" w:rsidP="008F79A9">
      <w:pPr>
        <w:rPr>
          <w:b/>
        </w:rPr>
      </w:pPr>
    </w:p>
    <w:p w14:paraId="1E0EEEF7" w14:textId="77777777" w:rsidR="006F3750" w:rsidRDefault="006F3750" w:rsidP="008F79A9">
      <w:pPr>
        <w:rPr>
          <w:b/>
        </w:rPr>
      </w:pPr>
    </w:p>
    <w:p w14:paraId="12B0EE68" w14:textId="77777777" w:rsidR="006F3750" w:rsidRDefault="006F3750" w:rsidP="008F79A9">
      <w:pPr>
        <w:rPr>
          <w:b/>
        </w:rPr>
      </w:pPr>
    </w:p>
    <w:p w14:paraId="06D6CD03" w14:textId="77777777" w:rsidR="006F3750" w:rsidRDefault="006F3750" w:rsidP="008F79A9">
      <w:pPr>
        <w:rPr>
          <w:b/>
        </w:rPr>
      </w:pPr>
    </w:p>
    <w:p w14:paraId="42C5ABC3" w14:textId="6235F7CC" w:rsidR="004D507C" w:rsidRDefault="00910DD5" w:rsidP="008F79A9">
      <w:pPr>
        <w:rPr>
          <w:b/>
        </w:rPr>
      </w:pPr>
      <w:r w:rsidRPr="00910DD5">
        <w:rPr>
          <w:b/>
        </w:rPr>
        <w:t>Figure 1</w:t>
      </w:r>
    </w:p>
    <w:p w14:paraId="4B703329" w14:textId="2A6794DF" w:rsidR="003E391A" w:rsidRDefault="003E391A" w:rsidP="008F79A9">
      <w:pPr>
        <w:rPr>
          <w:b/>
        </w:rPr>
      </w:pPr>
    </w:p>
    <w:p w14:paraId="62C6F4D8" w14:textId="4595B2C1" w:rsidR="003E391A" w:rsidRDefault="003E391A" w:rsidP="008F79A9">
      <w:pPr>
        <w:rPr>
          <w:b/>
        </w:rPr>
      </w:pPr>
      <w:r>
        <w:rPr>
          <w:b/>
          <w:noProof/>
        </w:rPr>
        <w:drawing>
          <wp:inline distT="0" distB="0" distL="0" distR="0" wp14:anchorId="37D9C25F" wp14:editId="34914F23">
            <wp:extent cx="5248910" cy="275590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8910" cy="2755900"/>
                    </a:xfrm>
                    <a:prstGeom prst="rect">
                      <a:avLst/>
                    </a:prstGeom>
                    <a:noFill/>
                  </pic:spPr>
                </pic:pic>
              </a:graphicData>
            </a:graphic>
          </wp:inline>
        </w:drawing>
      </w:r>
    </w:p>
    <w:p w14:paraId="345B314E" w14:textId="77777777" w:rsidR="00F3662D" w:rsidRDefault="00F3662D" w:rsidP="008F79A9">
      <w:pPr>
        <w:rPr>
          <w:b/>
        </w:rPr>
      </w:pPr>
    </w:p>
    <w:p w14:paraId="297F5288" w14:textId="2312C3DB" w:rsidR="00F3662D" w:rsidRPr="00910DD5" w:rsidRDefault="00F3662D" w:rsidP="008F79A9">
      <w:pPr>
        <w:rPr>
          <w:b/>
        </w:rPr>
      </w:pPr>
    </w:p>
    <w:p w14:paraId="07719211" w14:textId="77777777" w:rsidR="00FC5109" w:rsidRPr="009B4655" w:rsidRDefault="00B24C2F" w:rsidP="008F79A9">
      <w:pPr>
        <w:rPr>
          <w:b/>
        </w:rPr>
      </w:pPr>
      <w:r w:rsidRPr="009B4655">
        <w:rPr>
          <w:b/>
        </w:rPr>
        <w:t>Figure 2</w:t>
      </w:r>
    </w:p>
    <w:p w14:paraId="2AFD55F1" w14:textId="77777777" w:rsidR="00B24C2F" w:rsidRDefault="00B24C2F" w:rsidP="003D23F1">
      <w:pPr>
        <w:rPr>
          <w:b/>
        </w:rPr>
      </w:pPr>
    </w:p>
    <w:p w14:paraId="53D6C821" w14:textId="01151D8E" w:rsidR="00B24C2F" w:rsidRDefault="003E391A" w:rsidP="003D23F1">
      <w:pPr>
        <w:rPr>
          <w:b/>
        </w:rPr>
      </w:pPr>
      <w:r>
        <w:rPr>
          <w:b/>
          <w:noProof/>
        </w:rPr>
        <w:drawing>
          <wp:inline distT="0" distB="0" distL="0" distR="0" wp14:anchorId="132591F3" wp14:editId="682C285B">
            <wp:extent cx="5248910" cy="2755900"/>
            <wp:effectExtent l="0" t="0" r="889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48910" cy="2755900"/>
                    </a:xfrm>
                    <a:prstGeom prst="rect">
                      <a:avLst/>
                    </a:prstGeom>
                    <a:noFill/>
                  </pic:spPr>
                </pic:pic>
              </a:graphicData>
            </a:graphic>
          </wp:inline>
        </w:drawing>
      </w:r>
    </w:p>
    <w:p w14:paraId="71C88210" w14:textId="77777777" w:rsidR="00B24C2F" w:rsidRDefault="00B24C2F" w:rsidP="003D23F1">
      <w:pPr>
        <w:rPr>
          <w:b/>
        </w:rPr>
      </w:pPr>
    </w:p>
    <w:p w14:paraId="3432851E" w14:textId="77777777" w:rsidR="00B24C2F" w:rsidRDefault="00B24C2F" w:rsidP="003D23F1">
      <w:pPr>
        <w:rPr>
          <w:b/>
        </w:rPr>
      </w:pPr>
    </w:p>
    <w:p w14:paraId="03F4A545" w14:textId="3262E055" w:rsidR="003D23F1" w:rsidRDefault="003D23F1" w:rsidP="003D23F1">
      <w:pPr>
        <w:rPr>
          <w:b/>
        </w:rPr>
      </w:pPr>
      <w:r>
        <w:rPr>
          <w:b/>
        </w:rPr>
        <w:t xml:space="preserve">III. </w:t>
      </w:r>
      <w:r w:rsidR="00C731EE">
        <w:rPr>
          <w:b/>
        </w:rPr>
        <w:t>Data (as of 3/</w:t>
      </w:r>
      <w:r w:rsidR="003E391A">
        <w:rPr>
          <w:b/>
        </w:rPr>
        <w:t>31</w:t>
      </w:r>
      <w:r w:rsidR="00C731EE">
        <w:rPr>
          <w:b/>
        </w:rPr>
        <w:t xml:space="preserve">/20) </w:t>
      </w:r>
      <w:r>
        <w:rPr>
          <w:b/>
        </w:rPr>
        <w:t xml:space="preserve">     </w:t>
      </w:r>
      <w:r w:rsidRPr="00020451">
        <w:rPr>
          <w:b/>
        </w:rPr>
        <w:t xml:space="preserve"> </w:t>
      </w:r>
    </w:p>
    <w:p w14:paraId="5B7502E2" w14:textId="77777777" w:rsidR="00AA3E43" w:rsidRDefault="00AA3E43" w:rsidP="00AA3E43">
      <w:pPr>
        <w:rPr>
          <w:b/>
        </w:rPr>
      </w:pPr>
    </w:p>
    <w:p w14:paraId="32FC887F" w14:textId="63907CE7" w:rsidR="00AA3E43" w:rsidRDefault="00150311" w:rsidP="00AA3E43">
      <w:r>
        <w:rPr>
          <w:b/>
        </w:rPr>
        <w:tab/>
      </w:r>
      <w:r>
        <w:t>Data collection began with identifying the counties that l</w:t>
      </w:r>
      <w:r w:rsidR="00120A38">
        <w:t>ie</w:t>
      </w:r>
      <w:r>
        <w:t xml:space="preserve"> within each of </w:t>
      </w:r>
      <w:r w:rsidR="003E391A">
        <w:t>37</w:t>
      </w:r>
      <w:r w:rsidR="007D4E31">
        <w:t>5</w:t>
      </w:r>
      <w:r>
        <w:t xml:space="preserve"> US Metropolitan Areas (CBSA). These counties f</w:t>
      </w:r>
      <w:r w:rsidR="00C25DFE">
        <w:t>a</w:t>
      </w:r>
      <w:r>
        <w:t xml:space="preserve">ll into two groups identified </w:t>
      </w:r>
      <w:r w:rsidR="00C25DFE">
        <w:t xml:space="preserve">by </w:t>
      </w:r>
      <w:r>
        <w:t>Census as “</w:t>
      </w:r>
      <w:r w:rsidR="003E3101">
        <w:t>Primary</w:t>
      </w:r>
      <w:r>
        <w:t>” and “</w:t>
      </w:r>
      <w:r w:rsidR="003E3101">
        <w:t>O</w:t>
      </w:r>
      <w:r>
        <w:t xml:space="preserve">utlying”. </w:t>
      </w:r>
      <w:r w:rsidR="00C25DFE">
        <w:t xml:space="preserve">The former </w:t>
      </w:r>
      <w:r w:rsidR="007D4E31">
        <w:t>is</w:t>
      </w:r>
      <w:r w:rsidR="00C25DFE">
        <w:t xml:space="preserve"> at least partially developed and </w:t>
      </w:r>
      <w:r w:rsidR="00CC3E28">
        <w:t xml:space="preserve">collectively </w:t>
      </w:r>
      <w:r w:rsidR="00C25DFE">
        <w:t>contain the large majority of MSA population. The latter are largely rural but with some connection to the MSA.</w:t>
      </w:r>
      <w:r w:rsidR="00C97BC0">
        <w:t xml:space="preserve"> We collected data for only </w:t>
      </w:r>
      <w:r w:rsidR="003E391A">
        <w:t>631</w:t>
      </w:r>
      <w:r w:rsidR="00C97BC0">
        <w:t xml:space="preserve"> “central” counties. </w:t>
      </w:r>
    </w:p>
    <w:p w14:paraId="1D0D354C" w14:textId="77777777" w:rsidR="00C25DFE" w:rsidRDefault="00C25DFE" w:rsidP="00AA3E43"/>
    <w:p w14:paraId="1EC27130" w14:textId="3E7708C5" w:rsidR="00CC3E28" w:rsidRDefault="00C25DFE" w:rsidP="00AA3E43">
      <w:r>
        <w:tab/>
        <w:t>We obtain current (2019) data for each county on it</w:t>
      </w:r>
      <w:r w:rsidR="00CC3E28">
        <w:t>s</w:t>
      </w:r>
      <w:r>
        <w:t xml:space="preserve"> population, overall residential density (</w:t>
      </w:r>
      <w:r w:rsidR="007D4E31">
        <w:t>population/square mile)</w:t>
      </w:r>
      <w:r>
        <w:t>, fraction of population over 65</w:t>
      </w:r>
      <w:r w:rsidR="007D4E31">
        <w:t xml:space="preserve">, </w:t>
      </w:r>
      <w:r>
        <w:t>average per</w:t>
      </w:r>
      <w:r w:rsidR="008F1FDF">
        <w:t xml:space="preserve"> </w:t>
      </w:r>
      <w:r>
        <w:t>capita income</w:t>
      </w:r>
      <w:r w:rsidR="007D4E31">
        <w:t>,</w:t>
      </w:r>
      <w:r>
        <w:t xml:space="preserve"> and finally average size of household (</w:t>
      </w:r>
      <w:r w:rsidR="00702E21">
        <w:t>population</w:t>
      </w:r>
      <w:r w:rsidR="007D4E31">
        <w:t>/</w:t>
      </w:r>
      <w:r w:rsidR="00702E21">
        <w:t>household</w:t>
      </w:r>
      <w:r>
        <w:t xml:space="preserve">). </w:t>
      </w:r>
    </w:p>
    <w:p w14:paraId="247D0A58" w14:textId="77777777" w:rsidR="00CC3E28" w:rsidRDefault="00CC3E28" w:rsidP="00AA3E43"/>
    <w:p w14:paraId="6C028584" w14:textId="7E2BC943" w:rsidR="00C25DFE" w:rsidRDefault="00CC3E28" w:rsidP="00AA3E43">
      <w:r>
        <w:tab/>
        <w:t xml:space="preserve">To this </w:t>
      </w:r>
      <w:r w:rsidR="00702E21">
        <w:t xml:space="preserve">Census </w:t>
      </w:r>
      <w:r>
        <w:t>data we match data from 1/22/20 onward</w:t>
      </w:r>
      <w:r w:rsidR="00B729CF">
        <w:t xml:space="preserve">, </w:t>
      </w:r>
      <w:r>
        <w:t xml:space="preserve">recording the total number of (measured) </w:t>
      </w:r>
      <w:r w:rsidR="005E63FE">
        <w:t>Covid-19</w:t>
      </w:r>
      <w:r>
        <w:t xml:space="preserve"> cases </w:t>
      </w:r>
      <w:r w:rsidR="007D4E31">
        <w:t>to date</w:t>
      </w:r>
      <w:r>
        <w:t>. The data base grows “rightward” adding</w:t>
      </w:r>
      <w:r w:rsidR="0084091C">
        <w:t xml:space="preserve"> an additional column with each new date</w:t>
      </w:r>
      <w:r w:rsidR="00E664F1">
        <w:t xml:space="preserve">. </w:t>
      </w:r>
      <w:r>
        <w:t>Our initial analysis her</w:t>
      </w:r>
      <w:r w:rsidR="00B729CF">
        <w:t>e</w:t>
      </w:r>
      <w:r>
        <w:t xml:space="preserve"> is through 3/</w:t>
      </w:r>
      <w:r w:rsidR="003E391A">
        <w:t>31</w:t>
      </w:r>
      <w:r>
        <w:t xml:space="preserve">/20. </w:t>
      </w:r>
      <w:r w:rsidR="00B729CF">
        <w:t>Finally</w:t>
      </w:r>
      <w:r w:rsidR="00C97BC0">
        <w:t>,</w:t>
      </w:r>
      <w:r w:rsidR="00B729CF">
        <w:t xml:space="preserve"> we identify the number of days that the virus has been active in each county </w:t>
      </w:r>
      <w:r w:rsidR="007D4E31">
        <w:t xml:space="preserve">since the first (recorded) case, </w:t>
      </w:r>
      <w:r w:rsidR="00B729CF">
        <w:t>(</w:t>
      </w:r>
      <w:r w:rsidR="007D4E31">
        <w:t>model version A</w:t>
      </w:r>
      <w:r w:rsidR="00B729CF">
        <w:t>)</w:t>
      </w:r>
      <w:r w:rsidR="007D4E31">
        <w:t xml:space="preserve"> and then the number of days since cases began to exceed .01x population (one case per 10 thousand – model version B)</w:t>
      </w:r>
      <w:r w:rsidR="00B729CF">
        <w:t>. Table 1 gives the initial county-level statistics, while Table2 aggregates this data up to the encompassing metropolitan areas</w:t>
      </w:r>
      <w:r w:rsidR="00E664F1">
        <w:t xml:space="preserve">. </w:t>
      </w:r>
      <w:r w:rsidR="00B729CF">
        <w:t xml:space="preserve">For most data the aggregation involves summation or weighted averaging. For the </w:t>
      </w:r>
      <w:r w:rsidR="007D4E31">
        <w:t xml:space="preserve">days </w:t>
      </w:r>
      <w:r w:rsidR="00B729CF">
        <w:t xml:space="preserve">variable it is the maximum of </w:t>
      </w:r>
      <w:r w:rsidR="00BE6671">
        <w:t xml:space="preserve">the </w:t>
      </w:r>
      <w:r w:rsidR="00B729CF">
        <w:t>exposure times for each county</w:t>
      </w:r>
      <w:r w:rsidR="00C97BC0">
        <w:t xml:space="preserve"> within that MSA</w:t>
      </w:r>
      <w:r w:rsidR="00B729CF">
        <w:t>.</w:t>
      </w:r>
    </w:p>
    <w:p w14:paraId="4901B4FF" w14:textId="269E3F3E" w:rsidR="001656EF" w:rsidRDefault="001656EF" w:rsidP="00AA3E43"/>
    <w:p w14:paraId="1FECFF46" w14:textId="77777777" w:rsidR="001656EF" w:rsidRPr="00150311" w:rsidRDefault="001656EF" w:rsidP="00AA3E43"/>
    <w:p w14:paraId="37C917F5" w14:textId="70D515D5" w:rsidR="00150311" w:rsidRDefault="001656EF" w:rsidP="00AA3E43">
      <w:pPr>
        <w:rPr>
          <w:b/>
        </w:rPr>
      </w:pPr>
      <w:r>
        <w:rPr>
          <w:b/>
        </w:rPr>
        <w:t xml:space="preserve">Table 1: County </w:t>
      </w:r>
      <w:r w:rsidR="00702E21">
        <w:rPr>
          <w:b/>
        </w:rPr>
        <w:t>Data</w:t>
      </w:r>
    </w:p>
    <w:tbl>
      <w:tblPr>
        <w:tblW w:w="7780" w:type="dxa"/>
        <w:tblLook w:val="04A0" w:firstRow="1" w:lastRow="0" w:firstColumn="1" w:lastColumn="0" w:noHBand="0" w:noVBand="1"/>
      </w:tblPr>
      <w:tblGrid>
        <w:gridCol w:w="2380"/>
        <w:gridCol w:w="800"/>
        <w:gridCol w:w="1140"/>
        <w:gridCol w:w="1140"/>
        <w:gridCol w:w="1192"/>
        <w:gridCol w:w="1233"/>
      </w:tblGrid>
      <w:tr w:rsidR="001656EF" w:rsidRPr="00472B97" w14:paraId="6693F823" w14:textId="77777777" w:rsidTr="00454173">
        <w:trPr>
          <w:trHeight w:val="300"/>
        </w:trPr>
        <w:tc>
          <w:tcPr>
            <w:tcW w:w="2380" w:type="dxa"/>
            <w:tcBorders>
              <w:top w:val="nil"/>
              <w:left w:val="nil"/>
              <w:bottom w:val="nil"/>
              <w:right w:val="nil"/>
            </w:tcBorders>
            <w:shd w:val="clear" w:color="auto" w:fill="auto"/>
            <w:noWrap/>
            <w:vAlign w:val="center"/>
            <w:hideMark/>
          </w:tcPr>
          <w:p w14:paraId="75B38263" w14:textId="77777777" w:rsidR="001656EF" w:rsidRPr="00472B97" w:rsidRDefault="001656EF" w:rsidP="00454173">
            <w:pPr>
              <w:rPr>
                <w:rFonts w:ascii="Calibri" w:hAnsi="Calibri" w:cs="Calibri"/>
                <w:b/>
                <w:bCs/>
                <w:color w:val="000000"/>
              </w:rPr>
            </w:pPr>
            <w:r w:rsidRPr="00472B97">
              <w:rPr>
                <w:rFonts w:ascii="Calibri" w:hAnsi="Calibri" w:cs="Calibri"/>
                <w:b/>
                <w:bCs/>
                <w:color w:val="000000"/>
              </w:rPr>
              <w:t>Series</w:t>
            </w:r>
          </w:p>
        </w:tc>
        <w:tc>
          <w:tcPr>
            <w:tcW w:w="800" w:type="dxa"/>
            <w:tcBorders>
              <w:top w:val="nil"/>
              <w:left w:val="nil"/>
              <w:bottom w:val="nil"/>
              <w:right w:val="nil"/>
            </w:tcBorders>
            <w:shd w:val="clear" w:color="auto" w:fill="auto"/>
            <w:noWrap/>
            <w:vAlign w:val="bottom"/>
            <w:hideMark/>
          </w:tcPr>
          <w:p w14:paraId="029E0635" w14:textId="77D68F7C" w:rsidR="001656EF" w:rsidRPr="00472B97" w:rsidRDefault="00931996" w:rsidP="00454173">
            <w:pPr>
              <w:jc w:val="center"/>
              <w:rPr>
                <w:rFonts w:ascii="Calibri" w:hAnsi="Calibri" w:cs="Calibri"/>
                <w:b/>
                <w:bCs/>
                <w:color w:val="000000"/>
              </w:rPr>
            </w:pPr>
            <w:r>
              <w:rPr>
                <w:rFonts w:ascii="Calibri" w:hAnsi="Calibri" w:cs="Calibri"/>
                <w:b/>
                <w:bCs/>
                <w:color w:val="000000"/>
              </w:rPr>
              <w:t xml:space="preserve"> </w:t>
            </w:r>
            <w:proofErr w:type="spellStart"/>
            <w:r w:rsidR="001656EF" w:rsidRPr="00472B97">
              <w:rPr>
                <w:rFonts w:ascii="Calibri" w:hAnsi="Calibri" w:cs="Calibri"/>
                <w:b/>
                <w:bCs/>
                <w:color w:val="000000"/>
              </w:rPr>
              <w:t>Obs</w:t>
            </w:r>
            <w:proofErr w:type="spellEnd"/>
          </w:p>
        </w:tc>
        <w:tc>
          <w:tcPr>
            <w:tcW w:w="1140" w:type="dxa"/>
            <w:tcBorders>
              <w:top w:val="nil"/>
              <w:left w:val="nil"/>
              <w:bottom w:val="nil"/>
              <w:right w:val="nil"/>
            </w:tcBorders>
            <w:shd w:val="clear" w:color="auto" w:fill="auto"/>
            <w:noWrap/>
            <w:vAlign w:val="bottom"/>
            <w:hideMark/>
          </w:tcPr>
          <w:p w14:paraId="0360C4A6" w14:textId="4DF8DE2E" w:rsidR="001656EF" w:rsidRPr="00472B97" w:rsidRDefault="00931996" w:rsidP="00454173">
            <w:pPr>
              <w:jc w:val="center"/>
              <w:rPr>
                <w:rFonts w:ascii="Calibri" w:hAnsi="Calibri" w:cs="Calibri"/>
                <w:b/>
                <w:bCs/>
                <w:color w:val="000000"/>
              </w:rPr>
            </w:pPr>
            <w:r>
              <w:rPr>
                <w:rFonts w:ascii="Calibri" w:hAnsi="Calibri" w:cs="Calibri"/>
                <w:b/>
                <w:bCs/>
                <w:color w:val="000000"/>
              </w:rPr>
              <w:t xml:space="preserve">    </w:t>
            </w:r>
            <w:r w:rsidR="001656EF" w:rsidRPr="00472B97">
              <w:rPr>
                <w:rFonts w:ascii="Calibri" w:hAnsi="Calibri" w:cs="Calibri"/>
                <w:b/>
                <w:bCs/>
                <w:color w:val="000000"/>
              </w:rPr>
              <w:t>Mean</w:t>
            </w:r>
          </w:p>
        </w:tc>
        <w:tc>
          <w:tcPr>
            <w:tcW w:w="1140" w:type="dxa"/>
            <w:tcBorders>
              <w:top w:val="nil"/>
              <w:left w:val="nil"/>
              <w:bottom w:val="nil"/>
              <w:right w:val="nil"/>
            </w:tcBorders>
            <w:shd w:val="clear" w:color="auto" w:fill="auto"/>
            <w:noWrap/>
            <w:vAlign w:val="bottom"/>
            <w:hideMark/>
          </w:tcPr>
          <w:p w14:paraId="3264B9EC" w14:textId="5F70721C" w:rsidR="001656EF" w:rsidRPr="00472B97" w:rsidRDefault="00931996" w:rsidP="00931996">
            <w:pPr>
              <w:jc w:val="center"/>
              <w:rPr>
                <w:rFonts w:ascii="Calibri" w:hAnsi="Calibri" w:cs="Calibri"/>
                <w:b/>
                <w:bCs/>
                <w:color w:val="000000"/>
              </w:rPr>
            </w:pPr>
            <w:r>
              <w:rPr>
                <w:rFonts w:ascii="Calibri" w:hAnsi="Calibri" w:cs="Calibri"/>
                <w:b/>
                <w:bCs/>
                <w:color w:val="000000"/>
              </w:rPr>
              <w:t xml:space="preserve"> </w:t>
            </w:r>
            <w:proofErr w:type="spellStart"/>
            <w:r w:rsidR="001656EF" w:rsidRPr="00472B97">
              <w:rPr>
                <w:rFonts w:ascii="Calibri" w:hAnsi="Calibri" w:cs="Calibri"/>
                <w:b/>
                <w:bCs/>
                <w:color w:val="000000"/>
              </w:rPr>
              <w:t>Std</w:t>
            </w:r>
            <w:proofErr w:type="spellEnd"/>
            <w:r w:rsidR="001656EF" w:rsidRPr="00472B97">
              <w:rPr>
                <w:rFonts w:ascii="Calibri" w:hAnsi="Calibri" w:cs="Calibri"/>
                <w:b/>
                <w:bCs/>
                <w:color w:val="000000"/>
              </w:rPr>
              <w:t xml:space="preserve"> </w:t>
            </w:r>
            <w:r>
              <w:rPr>
                <w:rFonts w:ascii="Calibri" w:hAnsi="Calibri" w:cs="Calibri"/>
                <w:b/>
                <w:bCs/>
                <w:color w:val="000000"/>
              </w:rPr>
              <w:t>Dev.</w:t>
            </w:r>
          </w:p>
        </w:tc>
        <w:tc>
          <w:tcPr>
            <w:tcW w:w="1120" w:type="dxa"/>
            <w:tcBorders>
              <w:top w:val="nil"/>
              <w:left w:val="nil"/>
              <w:bottom w:val="nil"/>
              <w:right w:val="nil"/>
            </w:tcBorders>
            <w:shd w:val="clear" w:color="auto" w:fill="auto"/>
            <w:noWrap/>
            <w:vAlign w:val="bottom"/>
            <w:hideMark/>
          </w:tcPr>
          <w:p w14:paraId="5D3D643F" w14:textId="77777777" w:rsidR="001656EF" w:rsidRPr="00472B97" w:rsidRDefault="001656EF" w:rsidP="00454173">
            <w:pPr>
              <w:jc w:val="center"/>
              <w:rPr>
                <w:rFonts w:ascii="Calibri" w:hAnsi="Calibri" w:cs="Calibri"/>
                <w:b/>
                <w:bCs/>
                <w:color w:val="000000"/>
              </w:rPr>
            </w:pPr>
            <w:r w:rsidRPr="00472B97">
              <w:rPr>
                <w:rFonts w:ascii="Calibri" w:hAnsi="Calibri" w:cs="Calibri"/>
                <w:b/>
                <w:bCs/>
                <w:color w:val="000000"/>
              </w:rPr>
              <w:t>Minimum</w:t>
            </w:r>
          </w:p>
        </w:tc>
        <w:tc>
          <w:tcPr>
            <w:tcW w:w="1200" w:type="dxa"/>
            <w:tcBorders>
              <w:top w:val="nil"/>
              <w:left w:val="nil"/>
              <w:bottom w:val="nil"/>
              <w:right w:val="nil"/>
            </w:tcBorders>
            <w:shd w:val="clear" w:color="auto" w:fill="auto"/>
            <w:noWrap/>
            <w:vAlign w:val="bottom"/>
            <w:hideMark/>
          </w:tcPr>
          <w:p w14:paraId="173BA775" w14:textId="77777777" w:rsidR="001656EF" w:rsidRPr="00472B97" w:rsidRDefault="001656EF" w:rsidP="00454173">
            <w:pPr>
              <w:jc w:val="center"/>
              <w:rPr>
                <w:rFonts w:ascii="Calibri" w:hAnsi="Calibri" w:cs="Calibri"/>
                <w:b/>
                <w:bCs/>
                <w:color w:val="000000"/>
              </w:rPr>
            </w:pPr>
            <w:r w:rsidRPr="00472B97">
              <w:rPr>
                <w:rFonts w:ascii="Calibri" w:hAnsi="Calibri" w:cs="Calibri"/>
                <w:b/>
                <w:bCs/>
                <w:color w:val="000000"/>
              </w:rPr>
              <w:t>Maximum</w:t>
            </w:r>
          </w:p>
        </w:tc>
      </w:tr>
      <w:tr w:rsidR="001656EF" w:rsidRPr="00472B97" w14:paraId="2F71FE7B" w14:textId="77777777" w:rsidTr="00454173">
        <w:trPr>
          <w:trHeight w:val="300"/>
        </w:trPr>
        <w:tc>
          <w:tcPr>
            <w:tcW w:w="2380" w:type="dxa"/>
            <w:tcBorders>
              <w:top w:val="nil"/>
              <w:left w:val="nil"/>
              <w:bottom w:val="nil"/>
              <w:right w:val="nil"/>
            </w:tcBorders>
            <w:shd w:val="clear" w:color="auto" w:fill="auto"/>
            <w:noWrap/>
            <w:vAlign w:val="center"/>
            <w:hideMark/>
          </w:tcPr>
          <w:p w14:paraId="55A33F3D" w14:textId="77777777" w:rsidR="001656EF" w:rsidRPr="008A7DD9" w:rsidRDefault="001656EF" w:rsidP="00454173">
            <w:pPr>
              <w:rPr>
                <w:rFonts w:ascii="Calibri" w:hAnsi="Calibri" w:cs="Calibri"/>
                <w:color w:val="000000"/>
                <w:sz w:val="20"/>
                <w:szCs w:val="20"/>
              </w:rPr>
            </w:pPr>
            <w:proofErr w:type="spellStart"/>
            <w:r w:rsidRPr="008A7DD9">
              <w:rPr>
                <w:rFonts w:ascii="Calibri" w:hAnsi="Calibri" w:cs="Calibri"/>
                <w:color w:val="000000"/>
                <w:sz w:val="20"/>
                <w:szCs w:val="20"/>
              </w:rPr>
              <w:t>Covid</w:t>
            </w:r>
            <w:proofErr w:type="spellEnd"/>
            <w:r w:rsidRPr="008A7DD9">
              <w:rPr>
                <w:rFonts w:ascii="Calibri" w:hAnsi="Calibri" w:cs="Calibri"/>
                <w:color w:val="000000"/>
                <w:sz w:val="20"/>
                <w:szCs w:val="20"/>
              </w:rPr>
              <w:t xml:space="preserve"> 19 Cases</w:t>
            </w:r>
          </w:p>
        </w:tc>
        <w:tc>
          <w:tcPr>
            <w:tcW w:w="800" w:type="dxa"/>
            <w:tcBorders>
              <w:top w:val="nil"/>
              <w:left w:val="nil"/>
              <w:bottom w:val="nil"/>
              <w:right w:val="nil"/>
            </w:tcBorders>
            <w:shd w:val="clear" w:color="auto" w:fill="auto"/>
            <w:noWrap/>
            <w:vAlign w:val="bottom"/>
            <w:hideMark/>
          </w:tcPr>
          <w:p w14:paraId="72BDEFE8"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628</w:t>
            </w:r>
          </w:p>
        </w:tc>
        <w:tc>
          <w:tcPr>
            <w:tcW w:w="1140" w:type="dxa"/>
            <w:tcBorders>
              <w:top w:val="nil"/>
              <w:left w:val="nil"/>
              <w:bottom w:val="nil"/>
              <w:right w:val="nil"/>
            </w:tcBorders>
            <w:shd w:val="clear" w:color="auto" w:fill="auto"/>
            <w:noWrap/>
            <w:vAlign w:val="bottom"/>
            <w:hideMark/>
          </w:tcPr>
          <w:p w14:paraId="7BA994EF"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265.5</w:t>
            </w:r>
          </w:p>
        </w:tc>
        <w:tc>
          <w:tcPr>
            <w:tcW w:w="1140" w:type="dxa"/>
            <w:tcBorders>
              <w:top w:val="nil"/>
              <w:left w:val="nil"/>
              <w:bottom w:val="nil"/>
              <w:right w:val="nil"/>
            </w:tcBorders>
            <w:shd w:val="clear" w:color="auto" w:fill="auto"/>
            <w:noWrap/>
            <w:vAlign w:val="bottom"/>
            <w:hideMark/>
          </w:tcPr>
          <w:p w14:paraId="33C38631"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1,071.7</w:t>
            </w:r>
          </w:p>
        </w:tc>
        <w:tc>
          <w:tcPr>
            <w:tcW w:w="1120" w:type="dxa"/>
            <w:tcBorders>
              <w:top w:val="nil"/>
              <w:left w:val="nil"/>
              <w:bottom w:val="nil"/>
              <w:right w:val="nil"/>
            </w:tcBorders>
            <w:shd w:val="clear" w:color="auto" w:fill="auto"/>
            <w:noWrap/>
            <w:vAlign w:val="bottom"/>
            <w:hideMark/>
          </w:tcPr>
          <w:p w14:paraId="6EFFD8E5"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1</w:t>
            </w:r>
          </w:p>
        </w:tc>
        <w:tc>
          <w:tcPr>
            <w:tcW w:w="1200" w:type="dxa"/>
            <w:tcBorders>
              <w:top w:val="nil"/>
              <w:left w:val="nil"/>
              <w:bottom w:val="nil"/>
              <w:right w:val="nil"/>
            </w:tcBorders>
            <w:shd w:val="clear" w:color="auto" w:fill="auto"/>
            <w:noWrap/>
            <w:vAlign w:val="bottom"/>
            <w:hideMark/>
          </w:tcPr>
          <w:p w14:paraId="6830B3E3"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13,869</w:t>
            </w:r>
          </w:p>
        </w:tc>
      </w:tr>
      <w:tr w:rsidR="001656EF" w:rsidRPr="00472B97" w14:paraId="0D9E04F8" w14:textId="77777777" w:rsidTr="00454173">
        <w:trPr>
          <w:trHeight w:val="300"/>
        </w:trPr>
        <w:tc>
          <w:tcPr>
            <w:tcW w:w="2380" w:type="dxa"/>
            <w:tcBorders>
              <w:top w:val="nil"/>
              <w:left w:val="nil"/>
              <w:bottom w:val="nil"/>
              <w:right w:val="nil"/>
            </w:tcBorders>
            <w:shd w:val="clear" w:color="auto" w:fill="auto"/>
            <w:noWrap/>
            <w:vAlign w:val="center"/>
            <w:hideMark/>
          </w:tcPr>
          <w:p w14:paraId="433C878E" w14:textId="77777777" w:rsidR="001656EF" w:rsidRPr="008A7DD9" w:rsidRDefault="001656EF" w:rsidP="00454173">
            <w:pPr>
              <w:rPr>
                <w:rFonts w:ascii="Calibri" w:hAnsi="Calibri" w:cs="Calibri"/>
                <w:color w:val="000000"/>
                <w:sz w:val="20"/>
                <w:szCs w:val="20"/>
              </w:rPr>
            </w:pPr>
            <w:r w:rsidRPr="008A7DD9">
              <w:rPr>
                <w:rFonts w:ascii="Calibri" w:hAnsi="Calibri" w:cs="Calibri"/>
                <w:color w:val="000000"/>
                <w:sz w:val="20"/>
                <w:szCs w:val="20"/>
              </w:rPr>
              <w:t>Population</w:t>
            </w:r>
          </w:p>
        </w:tc>
        <w:tc>
          <w:tcPr>
            <w:tcW w:w="800" w:type="dxa"/>
            <w:tcBorders>
              <w:top w:val="nil"/>
              <w:left w:val="nil"/>
              <w:bottom w:val="nil"/>
              <w:right w:val="nil"/>
            </w:tcBorders>
            <w:shd w:val="clear" w:color="auto" w:fill="auto"/>
            <w:noWrap/>
            <w:vAlign w:val="bottom"/>
            <w:hideMark/>
          </w:tcPr>
          <w:p w14:paraId="04292862"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631</w:t>
            </w:r>
          </w:p>
        </w:tc>
        <w:tc>
          <w:tcPr>
            <w:tcW w:w="1140" w:type="dxa"/>
            <w:tcBorders>
              <w:top w:val="nil"/>
              <w:left w:val="nil"/>
              <w:bottom w:val="nil"/>
              <w:right w:val="nil"/>
            </w:tcBorders>
            <w:shd w:val="clear" w:color="auto" w:fill="auto"/>
            <w:noWrap/>
            <w:vAlign w:val="bottom"/>
            <w:hideMark/>
          </w:tcPr>
          <w:p w14:paraId="39FEEA41"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403,879</w:t>
            </w:r>
          </w:p>
        </w:tc>
        <w:tc>
          <w:tcPr>
            <w:tcW w:w="1140" w:type="dxa"/>
            <w:tcBorders>
              <w:top w:val="nil"/>
              <w:left w:val="nil"/>
              <w:bottom w:val="nil"/>
              <w:right w:val="nil"/>
            </w:tcBorders>
            <w:shd w:val="clear" w:color="auto" w:fill="auto"/>
            <w:noWrap/>
            <w:vAlign w:val="bottom"/>
            <w:hideMark/>
          </w:tcPr>
          <w:p w14:paraId="036D915D"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658,828</w:t>
            </w:r>
          </w:p>
        </w:tc>
        <w:tc>
          <w:tcPr>
            <w:tcW w:w="1120" w:type="dxa"/>
            <w:tcBorders>
              <w:top w:val="nil"/>
              <w:left w:val="nil"/>
              <w:bottom w:val="nil"/>
              <w:right w:val="nil"/>
            </w:tcBorders>
            <w:shd w:val="clear" w:color="auto" w:fill="auto"/>
            <w:noWrap/>
            <w:vAlign w:val="bottom"/>
            <w:hideMark/>
          </w:tcPr>
          <w:p w14:paraId="1D6E56C8"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62,607</w:t>
            </w:r>
          </w:p>
        </w:tc>
        <w:tc>
          <w:tcPr>
            <w:tcW w:w="1200" w:type="dxa"/>
            <w:tcBorders>
              <w:top w:val="nil"/>
              <w:left w:val="nil"/>
              <w:bottom w:val="nil"/>
              <w:right w:val="nil"/>
            </w:tcBorders>
            <w:shd w:val="clear" w:color="auto" w:fill="auto"/>
            <w:noWrap/>
            <w:vAlign w:val="bottom"/>
            <w:hideMark/>
          </w:tcPr>
          <w:p w14:paraId="2D0400C3"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10,105,518</w:t>
            </w:r>
          </w:p>
        </w:tc>
      </w:tr>
      <w:tr w:rsidR="001656EF" w:rsidRPr="00472B97" w14:paraId="40FAF900" w14:textId="77777777" w:rsidTr="00454173">
        <w:trPr>
          <w:trHeight w:val="300"/>
        </w:trPr>
        <w:tc>
          <w:tcPr>
            <w:tcW w:w="2380" w:type="dxa"/>
            <w:tcBorders>
              <w:top w:val="nil"/>
              <w:left w:val="nil"/>
              <w:bottom w:val="nil"/>
              <w:right w:val="nil"/>
            </w:tcBorders>
            <w:shd w:val="clear" w:color="auto" w:fill="auto"/>
            <w:noWrap/>
            <w:vAlign w:val="center"/>
            <w:hideMark/>
          </w:tcPr>
          <w:p w14:paraId="0231668E" w14:textId="77777777" w:rsidR="001656EF" w:rsidRPr="008A7DD9" w:rsidRDefault="001656EF" w:rsidP="00454173">
            <w:pPr>
              <w:rPr>
                <w:rFonts w:ascii="Calibri" w:hAnsi="Calibri" w:cs="Calibri"/>
                <w:color w:val="000000"/>
                <w:sz w:val="20"/>
                <w:szCs w:val="20"/>
              </w:rPr>
            </w:pPr>
            <w:r w:rsidRPr="008A7DD9">
              <w:rPr>
                <w:rFonts w:ascii="Calibri" w:hAnsi="Calibri" w:cs="Calibri"/>
                <w:color w:val="000000"/>
                <w:sz w:val="20"/>
                <w:szCs w:val="20"/>
              </w:rPr>
              <w:t>Density</w:t>
            </w:r>
          </w:p>
        </w:tc>
        <w:tc>
          <w:tcPr>
            <w:tcW w:w="800" w:type="dxa"/>
            <w:tcBorders>
              <w:top w:val="nil"/>
              <w:left w:val="nil"/>
              <w:bottom w:val="nil"/>
              <w:right w:val="nil"/>
            </w:tcBorders>
            <w:shd w:val="clear" w:color="auto" w:fill="auto"/>
            <w:noWrap/>
            <w:vAlign w:val="bottom"/>
            <w:hideMark/>
          </w:tcPr>
          <w:p w14:paraId="3C37FB80"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631</w:t>
            </w:r>
          </w:p>
        </w:tc>
        <w:tc>
          <w:tcPr>
            <w:tcW w:w="1140" w:type="dxa"/>
            <w:tcBorders>
              <w:top w:val="nil"/>
              <w:left w:val="nil"/>
              <w:bottom w:val="nil"/>
              <w:right w:val="nil"/>
            </w:tcBorders>
            <w:shd w:val="clear" w:color="auto" w:fill="auto"/>
            <w:noWrap/>
            <w:vAlign w:val="bottom"/>
            <w:hideMark/>
          </w:tcPr>
          <w:p w14:paraId="4AB833E5"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1,058.9</w:t>
            </w:r>
          </w:p>
        </w:tc>
        <w:tc>
          <w:tcPr>
            <w:tcW w:w="1140" w:type="dxa"/>
            <w:tcBorders>
              <w:top w:val="nil"/>
              <w:left w:val="nil"/>
              <w:bottom w:val="nil"/>
              <w:right w:val="nil"/>
            </w:tcBorders>
            <w:shd w:val="clear" w:color="auto" w:fill="auto"/>
            <w:noWrap/>
            <w:vAlign w:val="bottom"/>
            <w:hideMark/>
          </w:tcPr>
          <w:p w14:paraId="17ABB33B"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3,854.0</w:t>
            </w:r>
          </w:p>
        </w:tc>
        <w:tc>
          <w:tcPr>
            <w:tcW w:w="1120" w:type="dxa"/>
            <w:tcBorders>
              <w:top w:val="nil"/>
              <w:left w:val="nil"/>
              <w:bottom w:val="nil"/>
              <w:right w:val="nil"/>
            </w:tcBorders>
            <w:shd w:val="clear" w:color="auto" w:fill="auto"/>
            <w:noWrap/>
            <w:vAlign w:val="bottom"/>
            <w:hideMark/>
          </w:tcPr>
          <w:p w14:paraId="3107AC83"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7.67</w:t>
            </w:r>
          </w:p>
        </w:tc>
        <w:tc>
          <w:tcPr>
            <w:tcW w:w="1200" w:type="dxa"/>
            <w:tcBorders>
              <w:top w:val="nil"/>
              <w:left w:val="nil"/>
              <w:bottom w:val="nil"/>
              <w:right w:val="nil"/>
            </w:tcBorders>
            <w:shd w:val="clear" w:color="auto" w:fill="auto"/>
            <w:noWrap/>
            <w:vAlign w:val="bottom"/>
            <w:hideMark/>
          </w:tcPr>
          <w:p w14:paraId="0E71DB69"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71,340</w:t>
            </w:r>
          </w:p>
        </w:tc>
      </w:tr>
      <w:tr w:rsidR="001656EF" w:rsidRPr="00472B97" w14:paraId="7C90773A" w14:textId="77777777" w:rsidTr="00454173">
        <w:trPr>
          <w:trHeight w:val="300"/>
        </w:trPr>
        <w:tc>
          <w:tcPr>
            <w:tcW w:w="2380" w:type="dxa"/>
            <w:tcBorders>
              <w:top w:val="nil"/>
              <w:left w:val="nil"/>
              <w:bottom w:val="nil"/>
              <w:right w:val="nil"/>
            </w:tcBorders>
            <w:shd w:val="clear" w:color="auto" w:fill="auto"/>
            <w:noWrap/>
            <w:vAlign w:val="center"/>
            <w:hideMark/>
          </w:tcPr>
          <w:p w14:paraId="772F5521" w14:textId="77777777" w:rsidR="001656EF" w:rsidRPr="008A7DD9" w:rsidRDefault="001656EF" w:rsidP="00454173">
            <w:pPr>
              <w:rPr>
                <w:rFonts w:ascii="Calibri" w:hAnsi="Calibri" w:cs="Calibri"/>
                <w:color w:val="000000"/>
                <w:sz w:val="20"/>
                <w:szCs w:val="20"/>
              </w:rPr>
            </w:pPr>
            <w:r w:rsidRPr="008A7DD9">
              <w:rPr>
                <w:rFonts w:ascii="Calibri" w:hAnsi="Calibri" w:cs="Calibri"/>
                <w:color w:val="000000"/>
                <w:sz w:val="20"/>
                <w:szCs w:val="20"/>
              </w:rPr>
              <w:t>Per Capita Income</w:t>
            </w:r>
          </w:p>
        </w:tc>
        <w:tc>
          <w:tcPr>
            <w:tcW w:w="800" w:type="dxa"/>
            <w:tcBorders>
              <w:top w:val="nil"/>
              <w:left w:val="nil"/>
              <w:bottom w:val="nil"/>
              <w:right w:val="nil"/>
            </w:tcBorders>
            <w:shd w:val="clear" w:color="auto" w:fill="auto"/>
            <w:noWrap/>
            <w:vAlign w:val="bottom"/>
            <w:hideMark/>
          </w:tcPr>
          <w:p w14:paraId="6DE1D4E9"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631</w:t>
            </w:r>
          </w:p>
        </w:tc>
        <w:tc>
          <w:tcPr>
            <w:tcW w:w="1140" w:type="dxa"/>
            <w:tcBorders>
              <w:top w:val="nil"/>
              <w:left w:val="nil"/>
              <w:bottom w:val="nil"/>
              <w:right w:val="nil"/>
            </w:tcBorders>
            <w:shd w:val="clear" w:color="auto" w:fill="auto"/>
            <w:noWrap/>
            <w:vAlign w:val="bottom"/>
            <w:hideMark/>
          </w:tcPr>
          <w:p w14:paraId="0BB1EDA7"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33,102</w:t>
            </w:r>
          </w:p>
        </w:tc>
        <w:tc>
          <w:tcPr>
            <w:tcW w:w="1140" w:type="dxa"/>
            <w:tcBorders>
              <w:top w:val="nil"/>
              <w:left w:val="nil"/>
              <w:bottom w:val="nil"/>
              <w:right w:val="nil"/>
            </w:tcBorders>
            <w:shd w:val="clear" w:color="auto" w:fill="auto"/>
            <w:noWrap/>
            <w:vAlign w:val="bottom"/>
            <w:hideMark/>
          </w:tcPr>
          <w:p w14:paraId="43F6CEA6"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8,068.9</w:t>
            </w:r>
          </w:p>
        </w:tc>
        <w:tc>
          <w:tcPr>
            <w:tcW w:w="1120" w:type="dxa"/>
            <w:tcBorders>
              <w:top w:val="nil"/>
              <w:left w:val="nil"/>
              <w:bottom w:val="nil"/>
              <w:right w:val="nil"/>
            </w:tcBorders>
            <w:shd w:val="clear" w:color="auto" w:fill="auto"/>
            <w:noWrap/>
            <w:vAlign w:val="bottom"/>
            <w:hideMark/>
          </w:tcPr>
          <w:p w14:paraId="6E628BDF"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16,788</w:t>
            </w:r>
          </w:p>
        </w:tc>
        <w:tc>
          <w:tcPr>
            <w:tcW w:w="1200" w:type="dxa"/>
            <w:tcBorders>
              <w:top w:val="nil"/>
              <w:left w:val="nil"/>
              <w:bottom w:val="nil"/>
              <w:right w:val="nil"/>
            </w:tcBorders>
            <w:shd w:val="clear" w:color="auto" w:fill="auto"/>
            <w:noWrap/>
            <w:vAlign w:val="bottom"/>
            <w:hideMark/>
          </w:tcPr>
          <w:p w14:paraId="559CD47C"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74,911</w:t>
            </w:r>
          </w:p>
        </w:tc>
      </w:tr>
      <w:tr w:rsidR="001656EF" w:rsidRPr="00472B97" w14:paraId="734AD490" w14:textId="77777777" w:rsidTr="00454173">
        <w:trPr>
          <w:trHeight w:val="300"/>
        </w:trPr>
        <w:tc>
          <w:tcPr>
            <w:tcW w:w="2380" w:type="dxa"/>
            <w:tcBorders>
              <w:top w:val="nil"/>
              <w:left w:val="nil"/>
              <w:bottom w:val="nil"/>
              <w:right w:val="nil"/>
            </w:tcBorders>
            <w:shd w:val="clear" w:color="auto" w:fill="auto"/>
            <w:noWrap/>
            <w:vAlign w:val="center"/>
            <w:hideMark/>
          </w:tcPr>
          <w:p w14:paraId="4D3AF8A3" w14:textId="77777777" w:rsidR="001656EF" w:rsidRPr="008A7DD9" w:rsidRDefault="001656EF" w:rsidP="00454173">
            <w:pPr>
              <w:rPr>
                <w:rFonts w:ascii="Calibri" w:hAnsi="Calibri" w:cs="Calibri"/>
                <w:color w:val="000000"/>
                <w:sz w:val="20"/>
                <w:szCs w:val="20"/>
              </w:rPr>
            </w:pPr>
            <w:r w:rsidRPr="008A7DD9">
              <w:rPr>
                <w:rFonts w:ascii="Calibri" w:hAnsi="Calibri" w:cs="Calibri"/>
                <w:color w:val="000000"/>
                <w:sz w:val="20"/>
                <w:szCs w:val="20"/>
              </w:rPr>
              <w:t>Household Size</w:t>
            </w:r>
          </w:p>
        </w:tc>
        <w:tc>
          <w:tcPr>
            <w:tcW w:w="800" w:type="dxa"/>
            <w:tcBorders>
              <w:top w:val="nil"/>
              <w:left w:val="nil"/>
              <w:bottom w:val="nil"/>
              <w:right w:val="nil"/>
            </w:tcBorders>
            <w:shd w:val="clear" w:color="auto" w:fill="auto"/>
            <w:noWrap/>
            <w:vAlign w:val="bottom"/>
            <w:hideMark/>
          </w:tcPr>
          <w:p w14:paraId="6A6155C3"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631</w:t>
            </w:r>
          </w:p>
        </w:tc>
        <w:tc>
          <w:tcPr>
            <w:tcW w:w="1140" w:type="dxa"/>
            <w:tcBorders>
              <w:top w:val="nil"/>
              <w:left w:val="nil"/>
              <w:bottom w:val="nil"/>
              <w:right w:val="nil"/>
            </w:tcBorders>
            <w:shd w:val="clear" w:color="auto" w:fill="auto"/>
            <w:noWrap/>
            <w:vAlign w:val="bottom"/>
            <w:hideMark/>
          </w:tcPr>
          <w:p w14:paraId="3323FDCC"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2.38</w:t>
            </w:r>
          </w:p>
        </w:tc>
        <w:tc>
          <w:tcPr>
            <w:tcW w:w="1140" w:type="dxa"/>
            <w:tcBorders>
              <w:top w:val="nil"/>
              <w:left w:val="nil"/>
              <w:bottom w:val="nil"/>
              <w:right w:val="nil"/>
            </w:tcBorders>
            <w:shd w:val="clear" w:color="auto" w:fill="auto"/>
            <w:noWrap/>
            <w:vAlign w:val="bottom"/>
            <w:hideMark/>
          </w:tcPr>
          <w:p w14:paraId="06CC3A6D"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0.29</w:t>
            </w:r>
          </w:p>
        </w:tc>
        <w:tc>
          <w:tcPr>
            <w:tcW w:w="1120" w:type="dxa"/>
            <w:tcBorders>
              <w:top w:val="nil"/>
              <w:left w:val="nil"/>
              <w:bottom w:val="nil"/>
              <w:right w:val="nil"/>
            </w:tcBorders>
            <w:shd w:val="clear" w:color="auto" w:fill="auto"/>
            <w:noWrap/>
            <w:vAlign w:val="bottom"/>
            <w:hideMark/>
          </w:tcPr>
          <w:p w14:paraId="63EA2DBB"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0.93</w:t>
            </w:r>
          </w:p>
        </w:tc>
        <w:tc>
          <w:tcPr>
            <w:tcW w:w="1200" w:type="dxa"/>
            <w:tcBorders>
              <w:top w:val="nil"/>
              <w:left w:val="nil"/>
              <w:bottom w:val="nil"/>
              <w:right w:val="nil"/>
            </w:tcBorders>
            <w:shd w:val="clear" w:color="auto" w:fill="auto"/>
            <w:noWrap/>
            <w:vAlign w:val="bottom"/>
            <w:hideMark/>
          </w:tcPr>
          <w:p w14:paraId="29E93960"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3.46</w:t>
            </w:r>
          </w:p>
        </w:tc>
      </w:tr>
      <w:tr w:rsidR="001656EF" w:rsidRPr="00472B97" w14:paraId="420B4400" w14:textId="77777777" w:rsidTr="00454173">
        <w:trPr>
          <w:trHeight w:val="300"/>
        </w:trPr>
        <w:tc>
          <w:tcPr>
            <w:tcW w:w="2380" w:type="dxa"/>
            <w:tcBorders>
              <w:top w:val="nil"/>
              <w:left w:val="nil"/>
              <w:bottom w:val="nil"/>
              <w:right w:val="nil"/>
            </w:tcBorders>
            <w:shd w:val="clear" w:color="auto" w:fill="auto"/>
            <w:noWrap/>
            <w:vAlign w:val="center"/>
            <w:hideMark/>
          </w:tcPr>
          <w:p w14:paraId="18C99D76" w14:textId="77777777" w:rsidR="001656EF" w:rsidRPr="008A7DD9" w:rsidRDefault="001656EF" w:rsidP="00454173">
            <w:pPr>
              <w:rPr>
                <w:rFonts w:ascii="Calibri" w:hAnsi="Calibri" w:cs="Calibri"/>
                <w:color w:val="000000"/>
                <w:sz w:val="20"/>
                <w:szCs w:val="20"/>
              </w:rPr>
            </w:pPr>
            <w:r w:rsidRPr="008A7DD9">
              <w:rPr>
                <w:rFonts w:ascii="Calibri" w:hAnsi="Calibri" w:cs="Calibri"/>
                <w:color w:val="000000"/>
                <w:sz w:val="20"/>
                <w:szCs w:val="20"/>
              </w:rPr>
              <w:t>Population &gt;= 65</w:t>
            </w:r>
          </w:p>
        </w:tc>
        <w:tc>
          <w:tcPr>
            <w:tcW w:w="800" w:type="dxa"/>
            <w:tcBorders>
              <w:top w:val="nil"/>
              <w:left w:val="nil"/>
              <w:bottom w:val="nil"/>
              <w:right w:val="nil"/>
            </w:tcBorders>
            <w:shd w:val="clear" w:color="auto" w:fill="auto"/>
            <w:noWrap/>
            <w:vAlign w:val="bottom"/>
            <w:hideMark/>
          </w:tcPr>
          <w:p w14:paraId="09AA892B"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631</w:t>
            </w:r>
          </w:p>
        </w:tc>
        <w:tc>
          <w:tcPr>
            <w:tcW w:w="1140" w:type="dxa"/>
            <w:tcBorders>
              <w:top w:val="nil"/>
              <w:left w:val="nil"/>
              <w:bottom w:val="nil"/>
              <w:right w:val="nil"/>
            </w:tcBorders>
            <w:shd w:val="clear" w:color="auto" w:fill="auto"/>
            <w:noWrap/>
            <w:vAlign w:val="bottom"/>
            <w:hideMark/>
          </w:tcPr>
          <w:p w14:paraId="6E5CED2B"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0.164</w:t>
            </w:r>
          </w:p>
        </w:tc>
        <w:tc>
          <w:tcPr>
            <w:tcW w:w="1140" w:type="dxa"/>
            <w:tcBorders>
              <w:top w:val="nil"/>
              <w:left w:val="nil"/>
              <w:bottom w:val="nil"/>
              <w:right w:val="nil"/>
            </w:tcBorders>
            <w:shd w:val="clear" w:color="auto" w:fill="auto"/>
            <w:noWrap/>
            <w:vAlign w:val="bottom"/>
            <w:hideMark/>
          </w:tcPr>
          <w:p w14:paraId="7E036D73"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0.044</w:t>
            </w:r>
          </w:p>
        </w:tc>
        <w:tc>
          <w:tcPr>
            <w:tcW w:w="1120" w:type="dxa"/>
            <w:tcBorders>
              <w:top w:val="nil"/>
              <w:left w:val="nil"/>
              <w:bottom w:val="nil"/>
              <w:right w:val="nil"/>
            </w:tcBorders>
            <w:shd w:val="clear" w:color="auto" w:fill="auto"/>
            <w:noWrap/>
            <w:vAlign w:val="bottom"/>
            <w:hideMark/>
          </w:tcPr>
          <w:p w14:paraId="648AC518"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0.077</w:t>
            </w:r>
          </w:p>
        </w:tc>
        <w:tc>
          <w:tcPr>
            <w:tcW w:w="1200" w:type="dxa"/>
            <w:tcBorders>
              <w:top w:val="nil"/>
              <w:left w:val="nil"/>
              <w:bottom w:val="nil"/>
              <w:right w:val="nil"/>
            </w:tcBorders>
            <w:shd w:val="clear" w:color="auto" w:fill="auto"/>
            <w:noWrap/>
            <w:vAlign w:val="bottom"/>
            <w:hideMark/>
          </w:tcPr>
          <w:p w14:paraId="3AB80E59"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0.568</w:t>
            </w:r>
          </w:p>
        </w:tc>
      </w:tr>
      <w:tr w:rsidR="001656EF" w:rsidRPr="00472B97" w14:paraId="3D4AC02D" w14:textId="77777777" w:rsidTr="00454173">
        <w:trPr>
          <w:trHeight w:val="300"/>
        </w:trPr>
        <w:tc>
          <w:tcPr>
            <w:tcW w:w="2380" w:type="dxa"/>
            <w:tcBorders>
              <w:top w:val="nil"/>
              <w:left w:val="nil"/>
              <w:bottom w:val="nil"/>
              <w:right w:val="nil"/>
            </w:tcBorders>
            <w:shd w:val="clear" w:color="auto" w:fill="auto"/>
            <w:noWrap/>
            <w:vAlign w:val="center"/>
            <w:hideMark/>
          </w:tcPr>
          <w:p w14:paraId="453C7B68" w14:textId="77777777" w:rsidR="001656EF" w:rsidRPr="008A7DD9" w:rsidRDefault="001656EF" w:rsidP="00454173">
            <w:pPr>
              <w:rPr>
                <w:rFonts w:ascii="Calibri" w:hAnsi="Calibri" w:cs="Calibri"/>
                <w:color w:val="000000"/>
                <w:sz w:val="20"/>
                <w:szCs w:val="20"/>
              </w:rPr>
            </w:pPr>
            <w:r w:rsidRPr="008A7DD9">
              <w:rPr>
                <w:rFonts w:ascii="Calibri" w:hAnsi="Calibri" w:cs="Calibri"/>
                <w:color w:val="000000"/>
                <w:sz w:val="20"/>
                <w:szCs w:val="20"/>
              </w:rPr>
              <w:t>Days cases &gt; 0</w:t>
            </w:r>
          </w:p>
        </w:tc>
        <w:tc>
          <w:tcPr>
            <w:tcW w:w="800" w:type="dxa"/>
            <w:tcBorders>
              <w:top w:val="nil"/>
              <w:left w:val="nil"/>
              <w:bottom w:val="nil"/>
              <w:right w:val="nil"/>
            </w:tcBorders>
            <w:shd w:val="clear" w:color="auto" w:fill="auto"/>
            <w:noWrap/>
            <w:vAlign w:val="bottom"/>
            <w:hideMark/>
          </w:tcPr>
          <w:p w14:paraId="3C572298"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628</w:t>
            </w:r>
          </w:p>
        </w:tc>
        <w:tc>
          <w:tcPr>
            <w:tcW w:w="1140" w:type="dxa"/>
            <w:tcBorders>
              <w:top w:val="nil"/>
              <w:left w:val="nil"/>
              <w:bottom w:val="nil"/>
              <w:right w:val="nil"/>
            </w:tcBorders>
            <w:shd w:val="clear" w:color="auto" w:fill="auto"/>
            <w:noWrap/>
            <w:vAlign w:val="bottom"/>
            <w:hideMark/>
          </w:tcPr>
          <w:p w14:paraId="75D6E494"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16.9</w:t>
            </w:r>
          </w:p>
        </w:tc>
        <w:tc>
          <w:tcPr>
            <w:tcW w:w="1140" w:type="dxa"/>
            <w:tcBorders>
              <w:top w:val="nil"/>
              <w:left w:val="nil"/>
              <w:bottom w:val="nil"/>
              <w:right w:val="nil"/>
            </w:tcBorders>
            <w:shd w:val="clear" w:color="auto" w:fill="auto"/>
            <w:noWrap/>
            <w:vAlign w:val="bottom"/>
            <w:hideMark/>
          </w:tcPr>
          <w:p w14:paraId="500BE6EB"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7.9</w:t>
            </w:r>
          </w:p>
        </w:tc>
        <w:tc>
          <w:tcPr>
            <w:tcW w:w="1120" w:type="dxa"/>
            <w:tcBorders>
              <w:top w:val="nil"/>
              <w:left w:val="nil"/>
              <w:bottom w:val="nil"/>
              <w:right w:val="nil"/>
            </w:tcBorders>
            <w:shd w:val="clear" w:color="auto" w:fill="auto"/>
            <w:noWrap/>
            <w:vAlign w:val="bottom"/>
            <w:hideMark/>
          </w:tcPr>
          <w:p w14:paraId="73A6A799"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1</w:t>
            </w:r>
          </w:p>
        </w:tc>
        <w:tc>
          <w:tcPr>
            <w:tcW w:w="1200" w:type="dxa"/>
            <w:tcBorders>
              <w:top w:val="nil"/>
              <w:left w:val="nil"/>
              <w:bottom w:val="nil"/>
              <w:right w:val="nil"/>
            </w:tcBorders>
            <w:shd w:val="clear" w:color="auto" w:fill="auto"/>
            <w:noWrap/>
            <w:vAlign w:val="bottom"/>
            <w:hideMark/>
          </w:tcPr>
          <w:p w14:paraId="5B789DCE"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70</w:t>
            </w:r>
          </w:p>
        </w:tc>
      </w:tr>
      <w:tr w:rsidR="001656EF" w:rsidRPr="00472B97" w14:paraId="27C0A860" w14:textId="77777777" w:rsidTr="00454173">
        <w:trPr>
          <w:trHeight w:val="300"/>
        </w:trPr>
        <w:tc>
          <w:tcPr>
            <w:tcW w:w="2380" w:type="dxa"/>
            <w:tcBorders>
              <w:top w:val="nil"/>
              <w:left w:val="nil"/>
              <w:bottom w:val="nil"/>
              <w:right w:val="nil"/>
            </w:tcBorders>
            <w:shd w:val="clear" w:color="auto" w:fill="auto"/>
            <w:noWrap/>
            <w:vAlign w:val="center"/>
            <w:hideMark/>
          </w:tcPr>
          <w:p w14:paraId="77BB5E1A" w14:textId="3FE5DA02" w:rsidR="001656EF" w:rsidRPr="008A7DD9" w:rsidRDefault="001656EF" w:rsidP="001656EF">
            <w:pPr>
              <w:rPr>
                <w:rFonts w:ascii="Calibri" w:hAnsi="Calibri" w:cs="Calibri"/>
                <w:color w:val="000000"/>
                <w:sz w:val="20"/>
                <w:szCs w:val="20"/>
              </w:rPr>
            </w:pPr>
            <w:r w:rsidRPr="008A7DD9">
              <w:rPr>
                <w:rFonts w:ascii="Calibri" w:hAnsi="Calibri" w:cs="Calibri"/>
                <w:color w:val="000000"/>
                <w:sz w:val="20"/>
                <w:szCs w:val="20"/>
              </w:rPr>
              <w:t xml:space="preserve">Days &gt; .01% Pop </w:t>
            </w:r>
          </w:p>
        </w:tc>
        <w:tc>
          <w:tcPr>
            <w:tcW w:w="800" w:type="dxa"/>
            <w:tcBorders>
              <w:top w:val="nil"/>
              <w:left w:val="nil"/>
              <w:bottom w:val="nil"/>
              <w:right w:val="nil"/>
            </w:tcBorders>
            <w:shd w:val="clear" w:color="auto" w:fill="auto"/>
            <w:noWrap/>
            <w:vAlign w:val="bottom"/>
            <w:hideMark/>
          </w:tcPr>
          <w:p w14:paraId="6A1610E4"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459</w:t>
            </w:r>
          </w:p>
        </w:tc>
        <w:tc>
          <w:tcPr>
            <w:tcW w:w="1140" w:type="dxa"/>
            <w:tcBorders>
              <w:top w:val="nil"/>
              <w:left w:val="nil"/>
              <w:bottom w:val="nil"/>
              <w:right w:val="nil"/>
            </w:tcBorders>
            <w:shd w:val="clear" w:color="auto" w:fill="auto"/>
            <w:noWrap/>
            <w:vAlign w:val="bottom"/>
            <w:hideMark/>
          </w:tcPr>
          <w:p w14:paraId="6B92E7FF"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6.2</w:t>
            </w:r>
          </w:p>
        </w:tc>
        <w:tc>
          <w:tcPr>
            <w:tcW w:w="1140" w:type="dxa"/>
            <w:tcBorders>
              <w:top w:val="nil"/>
              <w:left w:val="nil"/>
              <w:bottom w:val="nil"/>
              <w:right w:val="nil"/>
            </w:tcBorders>
            <w:shd w:val="clear" w:color="auto" w:fill="auto"/>
            <w:noWrap/>
            <w:vAlign w:val="bottom"/>
            <w:hideMark/>
          </w:tcPr>
          <w:p w14:paraId="7DDB146C"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3.7</w:t>
            </w:r>
          </w:p>
        </w:tc>
        <w:tc>
          <w:tcPr>
            <w:tcW w:w="1120" w:type="dxa"/>
            <w:tcBorders>
              <w:top w:val="nil"/>
              <w:left w:val="nil"/>
              <w:bottom w:val="nil"/>
              <w:right w:val="nil"/>
            </w:tcBorders>
            <w:shd w:val="clear" w:color="auto" w:fill="auto"/>
            <w:noWrap/>
            <w:vAlign w:val="bottom"/>
            <w:hideMark/>
          </w:tcPr>
          <w:p w14:paraId="58AB7DED"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1</w:t>
            </w:r>
          </w:p>
        </w:tc>
        <w:tc>
          <w:tcPr>
            <w:tcW w:w="1200" w:type="dxa"/>
            <w:tcBorders>
              <w:top w:val="nil"/>
              <w:left w:val="nil"/>
              <w:bottom w:val="nil"/>
              <w:right w:val="nil"/>
            </w:tcBorders>
            <w:shd w:val="clear" w:color="auto" w:fill="auto"/>
            <w:noWrap/>
            <w:vAlign w:val="bottom"/>
            <w:hideMark/>
          </w:tcPr>
          <w:p w14:paraId="460ACF54"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23</w:t>
            </w:r>
          </w:p>
        </w:tc>
      </w:tr>
    </w:tbl>
    <w:p w14:paraId="38A8E759" w14:textId="1675E997" w:rsidR="00150311" w:rsidRDefault="00150311" w:rsidP="00AA3E43">
      <w:pPr>
        <w:rPr>
          <w:b/>
        </w:rPr>
      </w:pPr>
    </w:p>
    <w:p w14:paraId="448EFDFA" w14:textId="3CB23B88" w:rsidR="001656EF" w:rsidRDefault="001656EF" w:rsidP="00AA3E43">
      <w:pPr>
        <w:rPr>
          <w:b/>
        </w:rPr>
      </w:pPr>
    </w:p>
    <w:p w14:paraId="42175E56" w14:textId="77777777" w:rsidR="001656EF" w:rsidRPr="00A06371" w:rsidRDefault="001656EF" w:rsidP="001656EF">
      <w:pPr>
        <w:rPr>
          <w:b/>
          <w:bCs/>
          <w:color w:val="000000"/>
        </w:rPr>
      </w:pPr>
      <w:r w:rsidRPr="00A06371">
        <w:rPr>
          <w:b/>
          <w:bCs/>
          <w:color w:val="000000"/>
        </w:rPr>
        <w:t>Table 2: MSA Aggregated Data</w:t>
      </w:r>
    </w:p>
    <w:tbl>
      <w:tblPr>
        <w:tblW w:w="7780" w:type="dxa"/>
        <w:tblLook w:val="04A0" w:firstRow="1" w:lastRow="0" w:firstColumn="1" w:lastColumn="0" w:noHBand="0" w:noVBand="1"/>
      </w:tblPr>
      <w:tblGrid>
        <w:gridCol w:w="2380"/>
        <w:gridCol w:w="800"/>
        <w:gridCol w:w="1140"/>
        <w:gridCol w:w="1140"/>
        <w:gridCol w:w="1192"/>
        <w:gridCol w:w="1233"/>
      </w:tblGrid>
      <w:tr w:rsidR="001656EF" w:rsidRPr="00472B97" w14:paraId="0F13A756" w14:textId="77777777" w:rsidTr="00454173">
        <w:trPr>
          <w:trHeight w:val="300"/>
        </w:trPr>
        <w:tc>
          <w:tcPr>
            <w:tcW w:w="2380" w:type="dxa"/>
            <w:tcBorders>
              <w:top w:val="nil"/>
              <w:left w:val="nil"/>
              <w:bottom w:val="nil"/>
              <w:right w:val="nil"/>
            </w:tcBorders>
            <w:shd w:val="clear" w:color="auto" w:fill="auto"/>
            <w:noWrap/>
            <w:vAlign w:val="center"/>
            <w:hideMark/>
          </w:tcPr>
          <w:p w14:paraId="158AD48C" w14:textId="77777777" w:rsidR="001656EF" w:rsidRPr="00472B97" w:rsidRDefault="001656EF" w:rsidP="00454173">
            <w:pPr>
              <w:rPr>
                <w:rFonts w:ascii="Calibri" w:hAnsi="Calibri" w:cs="Calibri"/>
                <w:b/>
                <w:bCs/>
                <w:color w:val="000000"/>
              </w:rPr>
            </w:pPr>
            <w:r w:rsidRPr="00472B97">
              <w:rPr>
                <w:rFonts w:ascii="Calibri" w:hAnsi="Calibri" w:cs="Calibri"/>
                <w:b/>
                <w:bCs/>
                <w:color w:val="000000"/>
              </w:rPr>
              <w:t>Series</w:t>
            </w:r>
          </w:p>
        </w:tc>
        <w:tc>
          <w:tcPr>
            <w:tcW w:w="800" w:type="dxa"/>
            <w:tcBorders>
              <w:top w:val="nil"/>
              <w:left w:val="nil"/>
              <w:bottom w:val="nil"/>
              <w:right w:val="nil"/>
            </w:tcBorders>
            <w:shd w:val="clear" w:color="auto" w:fill="auto"/>
            <w:noWrap/>
            <w:vAlign w:val="bottom"/>
            <w:hideMark/>
          </w:tcPr>
          <w:p w14:paraId="0A08C765" w14:textId="7D4B76CA" w:rsidR="001656EF" w:rsidRPr="00472B97" w:rsidRDefault="00931996" w:rsidP="00454173">
            <w:pPr>
              <w:jc w:val="center"/>
              <w:rPr>
                <w:rFonts w:ascii="Calibri" w:hAnsi="Calibri" w:cs="Calibri"/>
                <w:b/>
                <w:bCs/>
                <w:color w:val="000000"/>
              </w:rPr>
            </w:pPr>
            <w:r>
              <w:rPr>
                <w:rFonts w:ascii="Calibri" w:hAnsi="Calibri" w:cs="Calibri"/>
                <w:b/>
                <w:bCs/>
                <w:color w:val="000000"/>
              </w:rPr>
              <w:t xml:space="preserve"> </w:t>
            </w:r>
            <w:proofErr w:type="spellStart"/>
            <w:r w:rsidR="001656EF" w:rsidRPr="00472B97">
              <w:rPr>
                <w:rFonts w:ascii="Calibri" w:hAnsi="Calibri" w:cs="Calibri"/>
                <w:b/>
                <w:bCs/>
                <w:color w:val="000000"/>
              </w:rPr>
              <w:t>Obs</w:t>
            </w:r>
            <w:proofErr w:type="spellEnd"/>
          </w:p>
        </w:tc>
        <w:tc>
          <w:tcPr>
            <w:tcW w:w="1140" w:type="dxa"/>
            <w:tcBorders>
              <w:top w:val="nil"/>
              <w:left w:val="nil"/>
              <w:bottom w:val="nil"/>
              <w:right w:val="nil"/>
            </w:tcBorders>
            <w:shd w:val="clear" w:color="auto" w:fill="auto"/>
            <w:noWrap/>
            <w:vAlign w:val="bottom"/>
            <w:hideMark/>
          </w:tcPr>
          <w:p w14:paraId="0DD61A94" w14:textId="73E5CFA5" w:rsidR="001656EF" w:rsidRPr="00472B97" w:rsidRDefault="00931996" w:rsidP="00454173">
            <w:pPr>
              <w:jc w:val="center"/>
              <w:rPr>
                <w:rFonts w:ascii="Calibri" w:hAnsi="Calibri" w:cs="Calibri"/>
                <w:b/>
                <w:bCs/>
                <w:color w:val="000000"/>
              </w:rPr>
            </w:pPr>
            <w:r>
              <w:rPr>
                <w:rFonts w:ascii="Calibri" w:hAnsi="Calibri" w:cs="Calibri"/>
                <w:b/>
                <w:bCs/>
                <w:color w:val="000000"/>
              </w:rPr>
              <w:t xml:space="preserve">     </w:t>
            </w:r>
            <w:r w:rsidR="001656EF" w:rsidRPr="00472B97">
              <w:rPr>
                <w:rFonts w:ascii="Calibri" w:hAnsi="Calibri" w:cs="Calibri"/>
                <w:b/>
                <w:bCs/>
                <w:color w:val="000000"/>
              </w:rPr>
              <w:t>Mean</w:t>
            </w:r>
          </w:p>
        </w:tc>
        <w:tc>
          <w:tcPr>
            <w:tcW w:w="1140" w:type="dxa"/>
            <w:tcBorders>
              <w:top w:val="nil"/>
              <w:left w:val="nil"/>
              <w:bottom w:val="nil"/>
              <w:right w:val="nil"/>
            </w:tcBorders>
            <w:shd w:val="clear" w:color="auto" w:fill="auto"/>
            <w:noWrap/>
            <w:vAlign w:val="bottom"/>
            <w:hideMark/>
          </w:tcPr>
          <w:p w14:paraId="69C64BAC" w14:textId="72DE1759" w:rsidR="001656EF" w:rsidRPr="00472B97" w:rsidRDefault="00931996" w:rsidP="00931996">
            <w:pPr>
              <w:jc w:val="center"/>
              <w:rPr>
                <w:rFonts w:ascii="Calibri" w:hAnsi="Calibri" w:cs="Calibri"/>
                <w:b/>
                <w:bCs/>
                <w:color w:val="000000"/>
              </w:rPr>
            </w:pPr>
            <w:r>
              <w:rPr>
                <w:rFonts w:ascii="Calibri" w:hAnsi="Calibri" w:cs="Calibri"/>
                <w:b/>
                <w:bCs/>
                <w:color w:val="000000"/>
              </w:rPr>
              <w:t xml:space="preserve"> </w:t>
            </w:r>
            <w:proofErr w:type="spellStart"/>
            <w:r w:rsidR="001656EF" w:rsidRPr="00472B97">
              <w:rPr>
                <w:rFonts w:ascii="Calibri" w:hAnsi="Calibri" w:cs="Calibri"/>
                <w:b/>
                <w:bCs/>
                <w:color w:val="000000"/>
              </w:rPr>
              <w:t>Std</w:t>
            </w:r>
            <w:proofErr w:type="spellEnd"/>
            <w:r w:rsidR="001656EF" w:rsidRPr="00472B97">
              <w:rPr>
                <w:rFonts w:ascii="Calibri" w:hAnsi="Calibri" w:cs="Calibri"/>
                <w:b/>
                <w:bCs/>
                <w:color w:val="000000"/>
              </w:rPr>
              <w:t xml:space="preserve"> </w:t>
            </w:r>
            <w:r>
              <w:rPr>
                <w:rFonts w:ascii="Calibri" w:hAnsi="Calibri" w:cs="Calibri"/>
                <w:b/>
                <w:bCs/>
                <w:color w:val="000000"/>
              </w:rPr>
              <w:t>Dev.</w:t>
            </w:r>
          </w:p>
        </w:tc>
        <w:tc>
          <w:tcPr>
            <w:tcW w:w="1120" w:type="dxa"/>
            <w:tcBorders>
              <w:top w:val="nil"/>
              <w:left w:val="nil"/>
              <w:bottom w:val="nil"/>
              <w:right w:val="nil"/>
            </w:tcBorders>
            <w:shd w:val="clear" w:color="auto" w:fill="auto"/>
            <w:noWrap/>
            <w:vAlign w:val="bottom"/>
            <w:hideMark/>
          </w:tcPr>
          <w:p w14:paraId="7751F041" w14:textId="77777777" w:rsidR="001656EF" w:rsidRPr="00472B97" w:rsidRDefault="001656EF" w:rsidP="00454173">
            <w:pPr>
              <w:jc w:val="center"/>
              <w:rPr>
                <w:rFonts w:ascii="Calibri" w:hAnsi="Calibri" w:cs="Calibri"/>
                <w:b/>
                <w:bCs/>
                <w:color w:val="000000"/>
              </w:rPr>
            </w:pPr>
            <w:r w:rsidRPr="00472B97">
              <w:rPr>
                <w:rFonts w:ascii="Calibri" w:hAnsi="Calibri" w:cs="Calibri"/>
                <w:b/>
                <w:bCs/>
                <w:color w:val="000000"/>
              </w:rPr>
              <w:t>Minimum</w:t>
            </w:r>
          </w:p>
        </w:tc>
        <w:tc>
          <w:tcPr>
            <w:tcW w:w="1200" w:type="dxa"/>
            <w:tcBorders>
              <w:top w:val="nil"/>
              <w:left w:val="nil"/>
              <w:bottom w:val="nil"/>
              <w:right w:val="nil"/>
            </w:tcBorders>
            <w:shd w:val="clear" w:color="auto" w:fill="auto"/>
            <w:noWrap/>
            <w:vAlign w:val="bottom"/>
            <w:hideMark/>
          </w:tcPr>
          <w:p w14:paraId="1D7AE799" w14:textId="77777777" w:rsidR="001656EF" w:rsidRPr="00472B97" w:rsidRDefault="001656EF" w:rsidP="00454173">
            <w:pPr>
              <w:jc w:val="center"/>
              <w:rPr>
                <w:rFonts w:ascii="Calibri" w:hAnsi="Calibri" w:cs="Calibri"/>
                <w:b/>
                <w:bCs/>
                <w:color w:val="000000"/>
              </w:rPr>
            </w:pPr>
            <w:r w:rsidRPr="00472B97">
              <w:rPr>
                <w:rFonts w:ascii="Calibri" w:hAnsi="Calibri" w:cs="Calibri"/>
                <w:b/>
                <w:bCs/>
                <w:color w:val="000000"/>
              </w:rPr>
              <w:t>Maximum</w:t>
            </w:r>
          </w:p>
        </w:tc>
      </w:tr>
      <w:tr w:rsidR="001656EF" w:rsidRPr="00472B97" w14:paraId="1FCE308D" w14:textId="77777777" w:rsidTr="00454173">
        <w:trPr>
          <w:trHeight w:val="300"/>
        </w:trPr>
        <w:tc>
          <w:tcPr>
            <w:tcW w:w="2380" w:type="dxa"/>
            <w:tcBorders>
              <w:top w:val="nil"/>
              <w:left w:val="nil"/>
              <w:bottom w:val="nil"/>
              <w:right w:val="nil"/>
            </w:tcBorders>
            <w:shd w:val="clear" w:color="auto" w:fill="auto"/>
            <w:noWrap/>
            <w:vAlign w:val="center"/>
            <w:hideMark/>
          </w:tcPr>
          <w:p w14:paraId="00073E0D" w14:textId="77777777" w:rsidR="001656EF" w:rsidRPr="008A7DD9" w:rsidRDefault="001656EF" w:rsidP="00454173">
            <w:pPr>
              <w:rPr>
                <w:rFonts w:ascii="Calibri" w:hAnsi="Calibri" w:cs="Calibri"/>
                <w:color w:val="000000"/>
                <w:sz w:val="20"/>
                <w:szCs w:val="20"/>
              </w:rPr>
            </w:pPr>
            <w:proofErr w:type="spellStart"/>
            <w:r w:rsidRPr="008A7DD9">
              <w:rPr>
                <w:rFonts w:ascii="Calibri" w:hAnsi="Calibri" w:cs="Calibri"/>
                <w:color w:val="000000"/>
                <w:sz w:val="20"/>
                <w:szCs w:val="20"/>
              </w:rPr>
              <w:t>Covid</w:t>
            </w:r>
            <w:proofErr w:type="spellEnd"/>
            <w:r w:rsidRPr="008A7DD9">
              <w:rPr>
                <w:rFonts w:ascii="Calibri" w:hAnsi="Calibri" w:cs="Calibri"/>
                <w:color w:val="000000"/>
                <w:sz w:val="20"/>
                <w:szCs w:val="20"/>
              </w:rPr>
              <w:t xml:space="preserve"> 19 Cases</w:t>
            </w:r>
          </w:p>
        </w:tc>
        <w:tc>
          <w:tcPr>
            <w:tcW w:w="800" w:type="dxa"/>
            <w:tcBorders>
              <w:top w:val="nil"/>
              <w:left w:val="nil"/>
              <w:bottom w:val="nil"/>
              <w:right w:val="nil"/>
            </w:tcBorders>
            <w:shd w:val="clear" w:color="auto" w:fill="auto"/>
            <w:noWrap/>
            <w:vAlign w:val="bottom"/>
            <w:hideMark/>
          </w:tcPr>
          <w:p w14:paraId="30E427DB"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372</w:t>
            </w:r>
          </w:p>
        </w:tc>
        <w:tc>
          <w:tcPr>
            <w:tcW w:w="1140" w:type="dxa"/>
            <w:tcBorders>
              <w:top w:val="nil"/>
              <w:left w:val="nil"/>
              <w:bottom w:val="nil"/>
              <w:right w:val="nil"/>
            </w:tcBorders>
            <w:shd w:val="clear" w:color="auto" w:fill="auto"/>
            <w:noWrap/>
            <w:vAlign w:val="bottom"/>
            <w:hideMark/>
          </w:tcPr>
          <w:p w14:paraId="3BD9B9B4"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448.3</w:t>
            </w:r>
          </w:p>
        </w:tc>
        <w:tc>
          <w:tcPr>
            <w:tcW w:w="1140" w:type="dxa"/>
            <w:tcBorders>
              <w:top w:val="nil"/>
              <w:left w:val="nil"/>
              <w:bottom w:val="nil"/>
              <w:right w:val="nil"/>
            </w:tcBorders>
            <w:shd w:val="clear" w:color="auto" w:fill="auto"/>
            <w:noWrap/>
            <w:vAlign w:val="bottom"/>
            <w:hideMark/>
          </w:tcPr>
          <w:p w14:paraId="2AB5F7E6"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4,399.7</w:t>
            </w:r>
          </w:p>
        </w:tc>
        <w:tc>
          <w:tcPr>
            <w:tcW w:w="1120" w:type="dxa"/>
            <w:tcBorders>
              <w:top w:val="nil"/>
              <w:left w:val="nil"/>
              <w:bottom w:val="nil"/>
              <w:right w:val="nil"/>
            </w:tcBorders>
            <w:shd w:val="clear" w:color="auto" w:fill="auto"/>
            <w:noWrap/>
            <w:vAlign w:val="bottom"/>
            <w:hideMark/>
          </w:tcPr>
          <w:p w14:paraId="21F3ED4D"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1</w:t>
            </w:r>
          </w:p>
        </w:tc>
        <w:tc>
          <w:tcPr>
            <w:tcW w:w="1200" w:type="dxa"/>
            <w:tcBorders>
              <w:top w:val="nil"/>
              <w:left w:val="nil"/>
              <w:bottom w:val="nil"/>
              <w:right w:val="nil"/>
            </w:tcBorders>
            <w:shd w:val="clear" w:color="auto" w:fill="auto"/>
            <w:noWrap/>
            <w:vAlign w:val="bottom"/>
            <w:hideMark/>
          </w:tcPr>
          <w:p w14:paraId="25E36609"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84,059</w:t>
            </w:r>
          </w:p>
        </w:tc>
      </w:tr>
      <w:tr w:rsidR="001656EF" w:rsidRPr="00472B97" w14:paraId="17DBDD22" w14:textId="77777777" w:rsidTr="00454173">
        <w:trPr>
          <w:trHeight w:val="300"/>
        </w:trPr>
        <w:tc>
          <w:tcPr>
            <w:tcW w:w="2380" w:type="dxa"/>
            <w:tcBorders>
              <w:top w:val="nil"/>
              <w:left w:val="nil"/>
              <w:bottom w:val="nil"/>
              <w:right w:val="nil"/>
            </w:tcBorders>
            <w:shd w:val="clear" w:color="auto" w:fill="auto"/>
            <w:noWrap/>
            <w:vAlign w:val="center"/>
            <w:hideMark/>
          </w:tcPr>
          <w:p w14:paraId="44295D6D" w14:textId="77777777" w:rsidR="001656EF" w:rsidRPr="008A7DD9" w:rsidRDefault="001656EF" w:rsidP="00454173">
            <w:pPr>
              <w:rPr>
                <w:rFonts w:ascii="Calibri" w:hAnsi="Calibri" w:cs="Calibri"/>
                <w:color w:val="000000"/>
                <w:sz w:val="20"/>
                <w:szCs w:val="20"/>
              </w:rPr>
            </w:pPr>
            <w:r w:rsidRPr="008A7DD9">
              <w:rPr>
                <w:rFonts w:ascii="Calibri" w:hAnsi="Calibri" w:cs="Calibri"/>
                <w:color w:val="000000"/>
                <w:sz w:val="20"/>
                <w:szCs w:val="20"/>
              </w:rPr>
              <w:t>Population</w:t>
            </w:r>
          </w:p>
        </w:tc>
        <w:tc>
          <w:tcPr>
            <w:tcW w:w="800" w:type="dxa"/>
            <w:tcBorders>
              <w:top w:val="nil"/>
              <w:left w:val="nil"/>
              <w:bottom w:val="nil"/>
              <w:right w:val="nil"/>
            </w:tcBorders>
            <w:shd w:val="clear" w:color="auto" w:fill="auto"/>
            <w:noWrap/>
            <w:vAlign w:val="bottom"/>
            <w:hideMark/>
          </w:tcPr>
          <w:p w14:paraId="01F1EE07"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375</w:t>
            </w:r>
          </w:p>
        </w:tc>
        <w:tc>
          <w:tcPr>
            <w:tcW w:w="1140" w:type="dxa"/>
            <w:tcBorders>
              <w:top w:val="nil"/>
              <w:left w:val="nil"/>
              <w:bottom w:val="nil"/>
              <w:right w:val="nil"/>
            </w:tcBorders>
            <w:shd w:val="clear" w:color="auto" w:fill="auto"/>
            <w:noWrap/>
            <w:vAlign w:val="bottom"/>
            <w:hideMark/>
          </w:tcPr>
          <w:p w14:paraId="39452456"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679,594</w:t>
            </w:r>
          </w:p>
        </w:tc>
        <w:tc>
          <w:tcPr>
            <w:tcW w:w="1140" w:type="dxa"/>
            <w:tcBorders>
              <w:top w:val="nil"/>
              <w:left w:val="nil"/>
              <w:bottom w:val="nil"/>
              <w:right w:val="nil"/>
            </w:tcBorders>
            <w:shd w:val="clear" w:color="auto" w:fill="auto"/>
            <w:noWrap/>
            <w:vAlign w:val="bottom"/>
            <w:hideMark/>
          </w:tcPr>
          <w:p w14:paraId="2C8FCE03"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1,590,459</w:t>
            </w:r>
          </w:p>
        </w:tc>
        <w:tc>
          <w:tcPr>
            <w:tcW w:w="1120" w:type="dxa"/>
            <w:tcBorders>
              <w:top w:val="nil"/>
              <w:left w:val="nil"/>
              <w:bottom w:val="nil"/>
              <w:right w:val="nil"/>
            </w:tcBorders>
            <w:shd w:val="clear" w:color="auto" w:fill="auto"/>
            <w:noWrap/>
            <w:vAlign w:val="bottom"/>
            <w:hideMark/>
          </w:tcPr>
          <w:p w14:paraId="23DF209C"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64,265</w:t>
            </w:r>
          </w:p>
        </w:tc>
        <w:tc>
          <w:tcPr>
            <w:tcW w:w="1200" w:type="dxa"/>
            <w:tcBorders>
              <w:top w:val="nil"/>
              <w:left w:val="nil"/>
              <w:bottom w:val="nil"/>
              <w:right w:val="nil"/>
            </w:tcBorders>
            <w:shd w:val="clear" w:color="auto" w:fill="auto"/>
            <w:noWrap/>
            <w:vAlign w:val="bottom"/>
            <w:hideMark/>
          </w:tcPr>
          <w:p w14:paraId="41F2BA24"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19,247,875</w:t>
            </w:r>
          </w:p>
        </w:tc>
      </w:tr>
      <w:tr w:rsidR="001656EF" w:rsidRPr="00472B97" w14:paraId="07EBF027" w14:textId="77777777" w:rsidTr="00454173">
        <w:trPr>
          <w:trHeight w:val="300"/>
        </w:trPr>
        <w:tc>
          <w:tcPr>
            <w:tcW w:w="2380" w:type="dxa"/>
            <w:tcBorders>
              <w:top w:val="nil"/>
              <w:left w:val="nil"/>
              <w:bottom w:val="nil"/>
              <w:right w:val="nil"/>
            </w:tcBorders>
            <w:shd w:val="clear" w:color="auto" w:fill="auto"/>
            <w:noWrap/>
            <w:vAlign w:val="center"/>
            <w:hideMark/>
          </w:tcPr>
          <w:p w14:paraId="68BF23F6" w14:textId="77777777" w:rsidR="001656EF" w:rsidRPr="008A7DD9" w:rsidRDefault="001656EF" w:rsidP="00454173">
            <w:pPr>
              <w:rPr>
                <w:rFonts w:ascii="Calibri" w:hAnsi="Calibri" w:cs="Calibri"/>
                <w:color w:val="000000"/>
                <w:sz w:val="20"/>
                <w:szCs w:val="20"/>
              </w:rPr>
            </w:pPr>
            <w:r w:rsidRPr="008A7DD9">
              <w:rPr>
                <w:rFonts w:ascii="Calibri" w:hAnsi="Calibri" w:cs="Calibri"/>
                <w:color w:val="000000"/>
                <w:sz w:val="20"/>
                <w:szCs w:val="20"/>
              </w:rPr>
              <w:t>Density</w:t>
            </w:r>
          </w:p>
        </w:tc>
        <w:tc>
          <w:tcPr>
            <w:tcW w:w="800" w:type="dxa"/>
            <w:tcBorders>
              <w:top w:val="nil"/>
              <w:left w:val="nil"/>
              <w:bottom w:val="nil"/>
              <w:right w:val="nil"/>
            </w:tcBorders>
            <w:shd w:val="clear" w:color="auto" w:fill="auto"/>
            <w:noWrap/>
            <w:vAlign w:val="bottom"/>
            <w:hideMark/>
          </w:tcPr>
          <w:p w14:paraId="07D38091"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375</w:t>
            </w:r>
          </w:p>
        </w:tc>
        <w:tc>
          <w:tcPr>
            <w:tcW w:w="1140" w:type="dxa"/>
            <w:tcBorders>
              <w:top w:val="nil"/>
              <w:left w:val="nil"/>
              <w:bottom w:val="nil"/>
              <w:right w:val="nil"/>
            </w:tcBorders>
            <w:shd w:val="clear" w:color="auto" w:fill="auto"/>
            <w:noWrap/>
            <w:vAlign w:val="bottom"/>
            <w:hideMark/>
          </w:tcPr>
          <w:p w14:paraId="57F7F93D"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404.6</w:t>
            </w:r>
          </w:p>
        </w:tc>
        <w:tc>
          <w:tcPr>
            <w:tcW w:w="1140" w:type="dxa"/>
            <w:tcBorders>
              <w:top w:val="nil"/>
              <w:left w:val="nil"/>
              <w:bottom w:val="nil"/>
              <w:right w:val="nil"/>
            </w:tcBorders>
            <w:shd w:val="clear" w:color="auto" w:fill="auto"/>
            <w:noWrap/>
            <w:vAlign w:val="bottom"/>
            <w:hideMark/>
          </w:tcPr>
          <w:p w14:paraId="5F218CB3"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416.1</w:t>
            </w:r>
          </w:p>
        </w:tc>
        <w:tc>
          <w:tcPr>
            <w:tcW w:w="1120" w:type="dxa"/>
            <w:tcBorders>
              <w:top w:val="nil"/>
              <w:left w:val="nil"/>
              <w:bottom w:val="nil"/>
              <w:right w:val="nil"/>
            </w:tcBorders>
            <w:shd w:val="clear" w:color="auto" w:fill="auto"/>
            <w:noWrap/>
            <w:vAlign w:val="bottom"/>
            <w:hideMark/>
          </w:tcPr>
          <w:p w14:paraId="251F8C51"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7.67</w:t>
            </w:r>
          </w:p>
        </w:tc>
        <w:tc>
          <w:tcPr>
            <w:tcW w:w="1200" w:type="dxa"/>
            <w:tcBorders>
              <w:top w:val="nil"/>
              <w:left w:val="nil"/>
              <w:bottom w:val="nil"/>
              <w:right w:val="nil"/>
            </w:tcBorders>
            <w:shd w:val="clear" w:color="auto" w:fill="auto"/>
            <w:noWrap/>
            <w:vAlign w:val="bottom"/>
            <w:hideMark/>
          </w:tcPr>
          <w:p w14:paraId="4656B85F"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3,134</w:t>
            </w:r>
          </w:p>
        </w:tc>
      </w:tr>
      <w:tr w:rsidR="001656EF" w:rsidRPr="00472B97" w14:paraId="60B60303" w14:textId="77777777" w:rsidTr="00454173">
        <w:trPr>
          <w:trHeight w:val="300"/>
        </w:trPr>
        <w:tc>
          <w:tcPr>
            <w:tcW w:w="2380" w:type="dxa"/>
            <w:tcBorders>
              <w:top w:val="nil"/>
              <w:left w:val="nil"/>
              <w:bottom w:val="nil"/>
              <w:right w:val="nil"/>
            </w:tcBorders>
            <w:shd w:val="clear" w:color="auto" w:fill="auto"/>
            <w:noWrap/>
            <w:vAlign w:val="center"/>
            <w:hideMark/>
          </w:tcPr>
          <w:p w14:paraId="0168C144" w14:textId="77777777" w:rsidR="001656EF" w:rsidRPr="008A7DD9" w:rsidRDefault="001656EF" w:rsidP="00454173">
            <w:pPr>
              <w:rPr>
                <w:rFonts w:ascii="Calibri" w:hAnsi="Calibri" w:cs="Calibri"/>
                <w:color w:val="000000"/>
                <w:sz w:val="20"/>
                <w:szCs w:val="20"/>
              </w:rPr>
            </w:pPr>
            <w:r w:rsidRPr="008A7DD9">
              <w:rPr>
                <w:rFonts w:ascii="Calibri" w:hAnsi="Calibri" w:cs="Calibri"/>
                <w:color w:val="000000"/>
                <w:sz w:val="20"/>
                <w:szCs w:val="20"/>
              </w:rPr>
              <w:t>Per Capita Income</w:t>
            </w:r>
          </w:p>
        </w:tc>
        <w:tc>
          <w:tcPr>
            <w:tcW w:w="800" w:type="dxa"/>
            <w:tcBorders>
              <w:top w:val="nil"/>
              <w:left w:val="nil"/>
              <w:bottom w:val="nil"/>
              <w:right w:val="nil"/>
            </w:tcBorders>
            <w:shd w:val="clear" w:color="auto" w:fill="auto"/>
            <w:noWrap/>
            <w:vAlign w:val="bottom"/>
            <w:hideMark/>
          </w:tcPr>
          <w:p w14:paraId="2ACB10EA"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375</w:t>
            </w:r>
          </w:p>
        </w:tc>
        <w:tc>
          <w:tcPr>
            <w:tcW w:w="1140" w:type="dxa"/>
            <w:tcBorders>
              <w:top w:val="nil"/>
              <w:left w:val="nil"/>
              <w:bottom w:val="nil"/>
              <w:right w:val="nil"/>
            </w:tcBorders>
            <w:shd w:val="clear" w:color="auto" w:fill="auto"/>
            <w:noWrap/>
            <w:vAlign w:val="bottom"/>
            <w:hideMark/>
          </w:tcPr>
          <w:p w14:paraId="4B54B83A"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30,811</w:t>
            </w:r>
          </w:p>
        </w:tc>
        <w:tc>
          <w:tcPr>
            <w:tcW w:w="1140" w:type="dxa"/>
            <w:tcBorders>
              <w:top w:val="nil"/>
              <w:left w:val="nil"/>
              <w:bottom w:val="nil"/>
              <w:right w:val="nil"/>
            </w:tcBorders>
            <w:shd w:val="clear" w:color="auto" w:fill="auto"/>
            <w:noWrap/>
            <w:vAlign w:val="bottom"/>
            <w:hideMark/>
          </w:tcPr>
          <w:p w14:paraId="0C2C5889"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5,914.1</w:t>
            </w:r>
          </w:p>
        </w:tc>
        <w:tc>
          <w:tcPr>
            <w:tcW w:w="1120" w:type="dxa"/>
            <w:tcBorders>
              <w:top w:val="nil"/>
              <w:left w:val="nil"/>
              <w:bottom w:val="nil"/>
              <w:right w:val="nil"/>
            </w:tcBorders>
            <w:shd w:val="clear" w:color="auto" w:fill="auto"/>
            <w:noWrap/>
            <w:vAlign w:val="bottom"/>
            <w:hideMark/>
          </w:tcPr>
          <w:p w14:paraId="1C4D3845"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16,788</w:t>
            </w:r>
          </w:p>
        </w:tc>
        <w:tc>
          <w:tcPr>
            <w:tcW w:w="1200" w:type="dxa"/>
            <w:tcBorders>
              <w:top w:val="nil"/>
              <w:left w:val="nil"/>
              <w:bottom w:val="nil"/>
              <w:right w:val="nil"/>
            </w:tcBorders>
            <w:shd w:val="clear" w:color="auto" w:fill="auto"/>
            <w:noWrap/>
            <w:vAlign w:val="bottom"/>
            <w:hideMark/>
          </w:tcPr>
          <w:p w14:paraId="597460E4"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58,780</w:t>
            </w:r>
          </w:p>
        </w:tc>
      </w:tr>
      <w:tr w:rsidR="001656EF" w:rsidRPr="00472B97" w14:paraId="6605967E" w14:textId="77777777" w:rsidTr="00454173">
        <w:trPr>
          <w:trHeight w:val="300"/>
        </w:trPr>
        <w:tc>
          <w:tcPr>
            <w:tcW w:w="2380" w:type="dxa"/>
            <w:tcBorders>
              <w:top w:val="nil"/>
              <w:left w:val="nil"/>
              <w:bottom w:val="nil"/>
              <w:right w:val="nil"/>
            </w:tcBorders>
            <w:shd w:val="clear" w:color="auto" w:fill="auto"/>
            <w:noWrap/>
            <w:vAlign w:val="center"/>
            <w:hideMark/>
          </w:tcPr>
          <w:p w14:paraId="419E716B" w14:textId="77777777" w:rsidR="001656EF" w:rsidRPr="008A7DD9" w:rsidRDefault="001656EF" w:rsidP="00454173">
            <w:pPr>
              <w:rPr>
                <w:rFonts w:ascii="Calibri" w:hAnsi="Calibri" w:cs="Calibri"/>
                <w:color w:val="000000"/>
                <w:sz w:val="20"/>
                <w:szCs w:val="20"/>
              </w:rPr>
            </w:pPr>
            <w:r w:rsidRPr="008A7DD9">
              <w:rPr>
                <w:rFonts w:ascii="Calibri" w:hAnsi="Calibri" w:cs="Calibri"/>
                <w:color w:val="000000"/>
                <w:sz w:val="20"/>
                <w:szCs w:val="20"/>
              </w:rPr>
              <w:t>Household Size</w:t>
            </w:r>
          </w:p>
        </w:tc>
        <w:tc>
          <w:tcPr>
            <w:tcW w:w="800" w:type="dxa"/>
            <w:tcBorders>
              <w:top w:val="nil"/>
              <w:left w:val="nil"/>
              <w:bottom w:val="nil"/>
              <w:right w:val="nil"/>
            </w:tcBorders>
            <w:shd w:val="clear" w:color="auto" w:fill="auto"/>
            <w:noWrap/>
            <w:vAlign w:val="bottom"/>
            <w:hideMark/>
          </w:tcPr>
          <w:p w14:paraId="7671DBDA"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375</w:t>
            </w:r>
          </w:p>
        </w:tc>
        <w:tc>
          <w:tcPr>
            <w:tcW w:w="1140" w:type="dxa"/>
            <w:tcBorders>
              <w:top w:val="nil"/>
              <w:left w:val="nil"/>
              <w:bottom w:val="nil"/>
              <w:right w:val="nil"/>
            </w:tcBorders>
            <w:shd w:val="clear" w:color="auto" w:fill="auto"/>
            <w:noWrap/>
            <w:vAlign w:val="bottom"/>
            <w:hideMark/>
          </w:tcPr>
          <w:p w14:paraId="090C2D10"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2.33</w:t>
            </w:r>
          </w:p>
        </w:tc>
        <w:tc>
          <w:tcPr>
            <w:tcW w:w="1140" w:type="dxa"/>
            <w:tcBorders>
              <w:top w:val="nil"/>
              <w:left w:val="nil"/>
              <w:bottom w:val="nil"/>
              <w:right w:val="nil"/>
            </w:tcBorders>
            <w:shd w:val="clear" w:color="auto" w:fill="auto"/>
            <w:noWrap/>
            <w:vAlign w:val="bottom"/>
            <w:hideMark/>
          </w:tcPr>
          <w:p w14:paraId="332983D3"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0.28</w:t>
            </w:r>
          </w:p>
        </w:tc>
        <w:tc>
          <w:tcPr>
            <w:tcW w:w="1120" w:type="dxa"/>
            <w:tcBorders>
              <w:top w:val="nil"/>
              <w:left w:val="nil"/>
              <w:bottom w:val="nil"/>
              <w:right w:val="nil"/>
            </w:tcBorders>
            <w:shd w:val="clear" w:color="auto" w:fill="auto"/>
            <w:noWrap/>
            <w:vAlign w:val="bottom"/>
            <w:hideMark/>
          </w:tcPr>
          <w:p w14:paraId="5AB2F44B"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0.93</w:t>
            </w:r>
          </w:p>
        </w:tc>
        <w:tc>
          <w:tcPr>
            <w:tcW w:w="1200" w:type="dxa"/>
            <w:tcBorders>
              <w:top w:val="nil"/>
              <w:left w:val="nil"/>
              <w:bottom w:val="nil"/>
              <w:right w:val="nil"/>
            </w:tcBorders>
            <w:shd w:val="clear" w:color="auto" w:fill="auto"/>
            <w:noWrap/>
            <w:vAlign w:val="bottom"/>
            <w:hideMark/>
          </w:tcPr>
          <w:p w14:paraId="1E52B565"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3.46</w:t>
            </w:r>
          </w:p>
        </w:tc>
      </w:tr>
      <w:tr w:rsidR="001656EF" w:rsidRPr="00472B97" w14:paraId="4701A47F" w14:textId="77777777" w:rsidTr="00454173">
        <w:trPr>
          <w:trHeight w:val="300"/>
        </w:trPr>
        <w:tc>
          <w:tcPr>
            <w:tcW w:w="2380" w:type="dxa"/>
            <w:tcBorders>
              <w:top w:val="nil"/>
              <w:left w:val="nil"/>
              <w:bottom w:val="nil"/>
              <w:right w:val="nil"/>
            </w:tcBorders>
            <w:shd w:val="clear" w:color="auto" w:fill="auto"/>
            <w:noWrap/>
            <w:vAlign w:val="center"/>
            <w:hideMark/>
          </w:tcPr>
          <w:p w14:paraId="7F6B3F74" w14:textId="77777777" w:rsidR="001656EF" w:rsidRPr="008A7DD9" w:rsidRDefault="001656EF" w:rsidP="00454173">
            <w:pPr>
              <w:rPr>
                <w:rFonts w:ascii="Calibri" w:hAnsi="Calibri" w:cs="Calibri"/>
                <w:color w:val="000000"/>
                <w:sz w:val="20"/>
                <w:szCs w:val="20"/>
              </w:rPr>
            </w:pPr>
            <w:r w:rsidRPr="008A7DD9">
              <w:rPr>
                <w:rFonts w:ascii="Calibri" w:hAnsi="Calibri" w:cs="Calibri"/>
                <w:color w:val="000000"/>
                <w:sz w:val="20"/>
                <w:szCs w:val="20"/>
              </w:rPr>
              <w:t>Population &gt;= 65</w:t>
            </w:r>
          </w:p>
        </w:tc>
        <w:tc>
          <w:tcPr>
            <w:tcW w:w="800" w:type="dxa"/>
            <w:tcBorders>
              <w:top w:val="nil"/>
              <w:left w:val="nil"/>
              <w:bottom w:val="nil"/>
              <w:right w:val="nil"/>
            </w:tcBorders>
            <w:shd w:val="clear" w:color="auto" w:fill="auto"/>
            <w:noWrap/>
            <w:vAlign w:val="bottom"/>
            <w:hideMark/>
          </w:tcPr>
          <w:p w14:paraId="506E439E"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375</w:t>
            </w:r>
          </w:p>
        </w:tc>
        <w:tc>
          <w:tcPr>
            <w:tcW w:w="1140" w:type="dxa"/>
            <w:tcBorders>
              <w:top w:val="nil"/>
              <w:left w:val="nil"/>
              <w:bottom w:val="nil"/>
              <w:right w:val="nil"/>
            </w:tcBorders>
            <w:shd w:val="clear" w:color="auto" w:fill="auto"/>
            <w:noWrap/>
            <w:vAlign w:val="bottom"/>
            <w:hideMark/>
          </w:tcPr>
          <w:p w14:paraId="3124F59E"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0.168</w:t>
            </w:r>
          </w:p>
        </w:tc>
        <w:tc>
          <w:tcPr>
            <w:tcW w:w="1140" w:type="dxa"/>
            <w:tcBorders>
              <w:top w:val="nil"/>
              <w:left w:val="nil"/>
              <w:bottom w:val="nil"/>
              <w:right w:val="nil"/>
            </w:tcBorders>
            <w:shd w:val="clear" w:color="auto" w:fill="auto"/>
            <w:noWrap/>
            <w:vAlign w:val="bottom"/>
            <w:hideMark/>
          </w:tcPr>
          <w:p w14:paraId="71EF737B"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0.048</w:t>
            </w:r>
          </w:p>
        </w:tc>
        <w:tc>
          <w:tcPr>
            <w:tcW w:w="1120" w:type="dxa"/>
            <w:tcBorders>
              <w:top w:val="nil"/>
              <w:left w:val="nil"/>
              <w:bottom w:val="nil"/>
              <w:right w:val="nil"/>
            </w:tcBorders>
            <w:shd w:val="clear" w:color="auto" w:fill="auto"/>
            <w:noWrap/>
            <w:vAlign w:val="bottom"/>
            <w:hideMark/>
          </w:tcPr>
          <w:p w14:paraId="0A2E21A9"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0.077</w:t>
            </w:r>
          </w:p>
        </w:tc>
        <w:tc>
          <w:tcPr>
            <w:tcW w:w="1200" w:type="dxa"/>
            <w:tcBorders>
              <w:top w:val="nil"/>
              <w:left w:val="nil"/>
              <w:bottom w:val="nil"/>
              <w:right w:val="nil"/>
            </w:tcBorders>
            <w:shd w:val="clear" w:color="auto" w:fill="auto"/>
            <w:noWrap/>
            <w:vAlign w:val="bottom"/>
            <w:hideMark/>
          </w:tcPr>
          <w:p w14:paraId="26CDFA22"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0.568</w:t>
            </w:r>
          </w:p>
        </w:tc>
      </w:tr>
      <w:tr w:rsidR="001656EF" w:rsidRPr="00472B97" w14:paraId="61AAA662" w14:textId="77777777" w:rsidTr="00454173">
        <w:trPr>
          <w:trHeight w:val="300"/>
        </w:trPr>
        <w:tc>
          <w:tcPr>
            <w:tcW w:w="2380" w:type="dxa"/>
            <w:tcBorders>
              <w:top w:val="nil"/>
              <w:left w:val="nil"/>
              <w:bottom w:val="nil"/>
              <w:right w:val="nil"/>
            </w:tcBorders>
            <w:shd w:val="clear" w:color="auto" w:fill="auto"/>
            <w:noWrap/>
            <w:vAlign w:val="center"/>
            <w:hideMark/>
          </w:tcPr>
          <w:p w14:paraId="2510742E" w14:textId="77777777" w:rsidR="001656EF" w:rsidRPr="008A7DD9" w:rsidRDefault="001656EF" w:rsidP="00454173">
            <w:pPr>
              <w:rPr>
                <w:rFonts w:ascii="Calibri" w:hAnsi="Calibri" w:cs="Calibri"/>
                <w:color w:val="000000"/>
                <w:sz w:val="20"/>
                <w:szCs w:val="20"/>
              </w:rPr>
            </w:pPr>
            <w:r w:rsidRPr="008A7DD9">
              <w:rPr>
                <w:rFonts w:ascii="Calibri" w:hAnsi="Calibri" w:cs="Calibri"/>
                <w:color w:val="000000"/>
                <w:sz w:val="20"/>
                <w:szCs w:val="20"/>
              </w:rPr>
              <w:t>Days cases &gt; 0</w:t>
            </w:r>
          </w:p>
        </w:tc>
        <w:tc>
          <w:tcPr>
            <w:tcW w:w="800" w:type="dxa"/>
            <w:tcBorders>
              <w:top w:val="nil"/>
              <w:left w:val="nil"/>
              <w:bottom w:val="nil"/>
              <w:right w:val="nil"/>
            </w:tcBorders>
            <w:shd w:val="clear" w:color="auto" w:fill="auto"/>
            <w:noWrap/>
            <w:vAlign w:val="bottom"/>
            <w:hideMark/>
          </w:tcPr>
          <w:p w14:paraId="0345CC9A"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372</w:t>
            </w:r>
          </w:p>
        </w:tc>
        <w:tc>
          <w:tcPr>
            <w:tcW w:w="1140" w:type="dxa"/>
            <w:tcBorders>
              <w:top w:val="nil"/>
              <w:left w:val="nil"/>
              <w:bottom w:val="nil"/>
              <w:right w:val="nil"/>
            </w:tcBorders>
            <w:shd w:val="clear" w:color="auto" w:fill="auto"/>
            <w:noWrap/>
            <w:vAlign w:val="bottom"/>
            <w:hideMark/>
          </w:tcPr>
          <w:p w14:paraId="27C6D2CA"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17.2</w:t>
            </w:r>
          </w:p>
        </w:tc>
        <w:tc>
          <w:tcPr>
            <w:tcW w:w="1140" w:type="dxa"/>
            <w:tcBorders>
              <w:top w:val="nil"/>
              <w:left w:val="nil"/>
              <w:bottom w:val="nil"/>
              <w:right w:val="nil"/>
            </w:tcBorders>
            <w:shd w:val="clear" w:color="auto" w:fill="auto"/>
            <w:noWrap/>
            <w:vAlign w:val="bottom"/>
            <w:hideMark/>
          </w:tcPr>
          <w:p w14:paraId="1191549F"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8.7</w:t>
            </w:r>
          </w:p>
        </w:tc>
        <w:tc>
          <w:tcPr>
            <w:tcW w:w="1120" w:type="dxa"/>
            <w:tcBorders>
              <w:top w:val="nil"/>
              <w:left w:val="nil"/>
              <w:bottom w:val="nil"/>
              <w:right w:val="nil"/>
            </w:tcBorders>
            <w:shd w:val="clear" w:color="auto" w:fill="auto"/>
            <w:noWrap/>
            <w:vAlign w:val="bottom"/>
            <w:hideMark/>
          </w:tcPr>
          <w:p w14:paraId="0F681BF3"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1</w:t>
            </w:r>
          </w:p>
        </w:tc>
        <w:tc>
          <w:tcPr>
            <w:tcW w:w="1200" w:type="dxa"/>
            <w:tcBorders>
              <w:top w:val="nil"/>
              <w:left w:val="nil"/>
              <w:bottom w:val="nil"/>
              <w:right w:val="nil"/>
            </w:tcBorders>
            <w:shd w:val="clear" w:color="auto" w:fill="auto"/>
            <w:noWrap/>
            <w:vAlign w:val="bottom"/>
            <w:hideMark/>
          </w:tcPr>
          <w:p w14:paraId="2804F7FE"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70</w:t>
            </w:r>
          </w:p>
        </w:tc>
      </w:tr>
      <w:tr w:rsidR="001656EF" w:rsidRPr="00472B97" w14:paraId="356E27A1" w14:textId="77777777" w:rsidTr="00454173">
        <w:trPr>
          <w:trHeight w:val="300"/>
        </w:trPr>
        <w:tc>
          <w:tcPr>
            <w:tcW w:w="2380" w:type="dxa"/>
            <w:tcBorders>
              <w:top w:val="nil"/>
              <w:left w:val="nil"/>
              <w:bottom w:val="nil"/>
              <w:right w:val="nil"/>
            </w:tcBorders>
            <w:shd w:val="clear" w:color="auto" w:fill="auto"/>
            <w:noWrap/>
            <w:vAlign w:val="center"/>
            <w:hideMark/>
          </w:tcPr>
          <w:p w14:paraId="6ABDF902" w14:textId="780D05A3" w:rsidR="001656EF" w:rsidRPr="008A7DD9" w:rsidRDefault="001656EF" w:rsidP="001656EF">
            <w:pPr>
              <w:rPr>
                <w:rFonts w:ascii="Calibri" w:hAnsi="Calibri" w:cs="Calibri"/>
                <w:color w:val="000000"/>
                <w:sz w:val="20"/>
                <w:szCs w:val="20"/>
              </w:rPr>
            </w:pPr>
            <w:r w:rsidRPr="008A7DD9">
              <w:rPr>
                <w:rFonts w:ascii="Calibri" w:hAnsi="Calibri" w:cs="Calibri"/>
                <w:color w:val="000000"/>
                <w:sz w:val="20"/>
                <w:szCs w:val="20"/>
              </w:rPr>
              <w:t xml:space="preserve">Days &gt; .01% Pop </w:t>
            </w:r>
          </w:p>
        </w:tc>
        <w:tc>
          <w:tcPr>
            <w:tcW w:w="800" w:type="dxa"/>
            <w:tcBorders>
              <w:top w:val="nil"/>
              <w:left w:val="nil"/>
              <w:bottom w:val="nil"/>
              <w:right w:val="nil"/>
            </w:tcBorders>
            <w:shd w:val="clear" w:color="auto" w:fill="auto"/>
            <w:noWrap/>
            <w:vAlign w:val="bottom"/>
            <w:hideMark/>
          </w:tcPr>
          <w:p w14:paraId="1506A1CA"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261</w:t>
            </w:r>
          </w:p>
        </w:tc>
        <w:tc>
          <w:tcPr>
            <w:tcW w:w="1140" w:type="dxa"/>
            <w:tcBorders>
              <w:top w:val="nil"/>
              <w:left w:val="nil"/>
              <w:bottom w:val="nil"/>
              <w:right w:val="nil"/>
            </w:tcBorders>
            <w:shd w:val="clear" w:color="auto" w:fill="auto"/>
            <w:noWrap/>
            <w:vAlign w:val="bottom"/>
            <w:hideMark/>
          </w:tcPr>
          <w:p w14:paraId="3A79709D"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5.6</w:t>
            </w:r>
          </w:p>
        </w:tc>
        <w:tc>
          <w:tcPr>
            <w:tcW w:w="1140" w:type="dxa"/>
            <w:tcBorders>
              <w:top w:val="nil"/>
              <w:left w:val="nil"/>
              <w:bottom w:val="nil"/>
              <w:right w:val="nil"/>
            </w:tcBorders>
            <w:shd w:val="clear" w:color="auto" w:fill="auto"/>
            <w:noWrap/>
            <w:vAlign w:val="bottom"/>
            <w:hideMark/>
          </w:tcPr>
          <w:p w14:paraId="5FE213A5"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3.5</w:t>
            </w:r>
          </w:p>
        </w:tc>
        <w:tc>
          <w:tcPr>
            <w:tcW w:w="1120" w:type="dxa"/>
            <w:tcBorders>
              <w:top w:val="nil"/>
              <w:left w:val="nil"/>
              <w:bottom w:val="nil"/>
              <w:right w:val="nil"/>
            </w:tcBorders>
            <w:shd w:val="clear" w:color="auto" w:fill="auto"/>
            <w:noWrap/>
            <w:vAlign w:val="bottom"/>
            <w:hideMark/>
          </w:tcPr>
          <w:p w14:paraId="7F188E42"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2</w:t>
            </w:r>
          </w:p>
        </w:tc>
        <w:tc>
          <w:tcPr>
            <w:tcW w:w="1200" w:type="dxa"/>
            <w:tcBorders>
              <w:top w:val="nil"/>
              <w:left w:val="nil"/>
              <w:bottom w:val="nil"/>
              <w:right w:val="nil"/>
            </w:tcBorders>
            <w:shd w:val="clear" w:color="auto" w:fill="auto"/>
            <w:noWrap/>
            <w:vAlign w:val="bottom"/>
            <w:hideMark/>
          </w:tcPr>
          <w:p w14:paraId="6C167AB3" w14:textId="77777777" w:rsidR="001656EF" w:rsidRPr="008A7DD9" w:rsidRDefault="001656EF" w:rsidP="00454173">
            <w:pPr>
              <w:jc w:val="right"/>
              <w:rPr>
                <w:rFonts w:ascii="Calibri" w:hAnsi="Calibri" w:cs="Calibri"/>
                <w:color w:val="000000"/>
                <w:sz w:val="20"/>
                <w:szCs w:val="20"/>
              </w:rPr>
            </w:pPr>
            <w:r w:rsidRPr="008A7DD9">
              <w:rPr>
                <w:rFonts w:ascii="Calibri" w:hAnsi="Calibri" w:cs="Calibri"/>
                <w:color w:val="000000"/>
                <w:sz w:val="20"/>
                <w:szCs w:val="20"/>
              </w:rPr>
              <w:t>20</w:t>
            </w:r>
          </w:p>
        </w:tc>
      </w:tr>
    </w:tbl>
    <w:p w14:paraId="1CA2B6D6" w14:textId="294CEED5" w:rsidR="001656EF" w:rsidRDefault="001656EF" w:rsidP="00AA3E43">
      <w:pPr>
        <w:rPr>
          <w:b/>
        </w:rPr>
      </w:pPr>
    </w:p>
    <w:p w14:paraId="077338F9" w14:textId="77777777" w:rsidR="001656EF" w:rsidRDefault="001656EF" w:rsidP="00AA3E43">
      <w:pPr>
        <w:rPr>
          <w:b/>
        </w:rPr>
      </w:pPr>
    </w:p>
    <w:p w14:paraId="0586DB6F" w14:textId="5094E608" w:rsidR="0072084A" w:rsidRDefault="00B729CF" w:rsidP="00081B9B">
      <w:r>
        <w:tab/>
        <w:t>Some discussion o</w:t>
      </w:r>
      <w:r w:rsidR="0084091C">
        <w:t>n</w:t>
      </w:r>
      <w:r>
        <w:t xml:space="preserve"> the appropriate geographic level for our analysis is in order. Counties cluster into MSA, and it is quite reasonable to expect </w:t>
      </w:r>
      <w:r w:rsidR="00E73BCF">
        <w:t xml:space="preserve">that the growth and contagion of the virus between such counties is almost as great as between individuals within counties. For these counties, the growth of the disease then depends not only on the host county characteristics but also that of </w:t>
      </w:r>
      <w:r>
        <w:t xml:space="preserve">the </w:t>
      </w:r>
      <w:r w:rsidR="00E73BCF">
        <w:t xml:space="preserve">counties it is clustered with. In any analysis of county-level data we must at a minimum use robust clustered standard errors. This is not a problem when the analysis compares MSA since they are </w:t>
      </w:r>
      <w:r w:rsidR="00D404CE">
        <w:t xml:space="preserve">created by Census presuming a </w:t>
      </w:r>
      <w:r w:rsidR="00C97BC0">
        <w:t xml:space="preserve">significant </w:t>
      </w:r>
      <w:r w:rsidR="00D404CE">
        <w:t xml:space="preserve">degree of physical and economic </w:t>
      </w:r>
      <w:r w:rsidR="007D4E31">
        <w:t xml:space="preserve">unity </w:t>
      </w:r>
      <w:r w:rsidR="00375E41">
        <w:t xml:space="preserve">within an MSA </w:t>
      </w:r>
      <w:r w:rsidR="007D4E31">
        <w:t xml:space="preserve">that is </w:t>
      </w:r>
      <w:r w:rsidR="00D404CE">
        <w:t>separa</w:t>
      </w:r>
      <w:r w:rsidR="007D4E31">
        <w:t>te from other MSA</w:t>
      </w:r>
      <w:r w:rsidR="00702E21">
        <w:t>s</w:t>
      </w:r>
      <w:r w:rsidR="00D404CE">
        <w:t xml:space="preserve">. </w:t>
      </w:r>
      <w:r w:rsidR="00E73BCF">
        <w:t xml:space="preserve"> </w:t>
      </w:r>
    </w:p>
    <w:p w14:paraId="219CDEA8" w14:textId="77777777" w:rsidR="0072084A" w:rsidRDefault="0072084A" w:rsidP="00081B9B"/>
    <w:p w14:paraId="133CA435" w14:textId="77777777" w:rsidR="00440798" w:rsidRDefault="00440798" w:rsidP="00081B9B"/>
    <w:p w14:paraId="18743762" w14:textId="7E6D3868" w:rsidR="00081B9B" w:rsidRDefault="0072084A" w:rsidP="00081B9B">
      <w:pPr>
        <w:rPr>
          <w:b/>
        </w:rPr>
      </w:pPr>
      <w:r>
        <w:rPr>
          <w:b/>
        </w:rPr>
        <w:t>I</w:t>
      </w:r>
      <w:r w:rsidR="00081B9B">
        <w:rPr>
          <w:b/>
        </w:rPr>
        <w:t xml:space="preserve">V. </w:t>
      </w:r>
      <w:r>
        <w:rPr>
          <w:b/>
        </w:rPr>
        <w:t>Modeling re</w:t>
      </w:r>
      <w:r w:rsidR="00CA364D">
        <w:rPr>
          <w:b/>
        </w:rPr>
        <w:t>sults:</w:t>
      </w:r>
      <w:r w:rsidR="00A953BF" w:rsidRPr="00A953BF">
        <w:rPr>
          <w:b/>
        </w:rPr>
        <w:t xml:space="preserve"> </w:t>
      </w:r>
      <w:r w:rsidR="00A953BF">
        <w:rPr>
          <w:b/>
        </w:rPr>
        <w:t>MSA aggregations (</w:t>
      </w:r>
      <w:r w:rsidR="003E391A">
        <w:rPr>
          <w:b/>
        </w:rPr>
        <w:t>37</w:t>
      </w:r>
      <w:r w:rsidR="00EF4467">
        <w:rPr>
          <w:b/>
        </w:rPr>
        <w:t>2</w:t>
      </w:r>
      <w:r w:rsidR="00A953BF">
        <w:rPr>
          <w:b/>
        </w:rPr>
        <w:t xml:space="preserve"> CBSA) </w:t>
      </w:r>
      <w:r w:rsidR="00CA364D">
        <w:rPr>
          <w:b/>
        </w:rPr>
        <w:t xml:space="preserve"> </w:t>
      </w:r>
    </w:p>
    <w:p w14:paraId="3D7D71EF" w14:textId="1CB41443" w:rsidR="00B256C6" w:rsidRDefault="00B256C6" w:rsidP="00081B9B">
      <w:pPr>
        <w:rPr>
          <w:b/>
        </w:rPr>
      </w:pPr>
    </w:p>
    <w:p w14:paraId="437A1D64" w14:textId="39B38E61" w:rsidR="0051581E" w:rsidRDefault="0051581E" w:rsidP="00081B9B">
      <w:r>
        <w:rPr>
          <w:b/>
        </w:rPr>
        <w:tab/>
      </w:r>
      <w:r>
        <w:t xml:space="preserve">In Table 3 we present the results of 4 regressions. The first runs log cases against the log of the independent variables without MSA population. The second includes population. The third is identical to the second but excludes the NY MSA, while the final regression is identical to the second but filters the sample to include only MSA that (as of 3/31/20) have </w:t>
      </w:r>
      <w:r w:rsidR="00AE6C02">
        <w:t xml:space="preserve">cases that exceed 1-per-10 thousand people. </w:t>
      </w:r>
      <w:r w:rsidR="00375E41">
        <w:t xml:space="preserve">This filter sheds 110 MSA, and has different values for Days. </w:t>
      </w:r>
      <w:r w:rsidR="00AE6C02">
        <w:t xml:space="preserve">In all regressions the dependent variable is </w:t>
      </w:r>
      <w:r w:rsidR="00E664F1">
        <w:t xml:space="preserve">number </w:t>
      </w:r>
      <w:r w:rsidR="00AE6C02">
        <w:t xml:space="preserve">cases (as of 3/31/20). </w:t>
      </w:r>
    </w:p>
    <w:p w14:paraId="241562CF" w14:textId="77777777" w:rsidR="00375E41" w:rsidRPr="0051581E" w:rsidRDefault="00375E41" w:rsidP="00081B9B"/>
    <w:p w14:paraId="00AA34B1" w14:textId="77777777" w:rsidR="0051581E" w:rsidRDefault="0051581E" w:rsidP="00081B9B">
      <w:pPr>
        <w:rPr>
          <w:b/>
        </w:rPr>
      </w:pPr>
    </w:p>
    <w:p w14:paraId="1088B4AB" w14:textId="574CF09D" w:rsidR="00564C6A" w:rsidRDefault="008A7DD9" w:rsidP="00081B9B">
      <w:pPr>
        <w:rPr>
          <w:b/>
        </w:rPr>
      </w:pPr>
      <w:r>
        <w:rPr>
          <w:b/>
        </w:rPr>
        <w:t>Table 3: MSA Regressions</w:t>
      </w:r>
      <w:r w:rsidR="0051581E">
        <w:rPr>
          <w:b/>
        </w:rPr>
        <w:t>, dependent variable: log(cases)</w:t>
      </w:r>
    </w:p>
    <w:tbl>
      <w:tblPr>
        <w:tblW w:w="8360" w:type="dxa"/>
        <w:tblLook w:val="04A0" w:firstRow="1" w:lastRow="0" w:firstColumn="1" w:lastColumn="0" w:noHBand="0" w:noVBand="1"/>
      </w:tblPr>
      <w:tblGrid>
        <w:gridCol w:w="2520"/>
        <w:gridCol w:w="1220"/>
        <w:gridCol w:w="1540"/>
        <w:gridCol w:w="1540"/>
        <w:gridCol w:w="1540"/>
      </w:tblGrid>
      <w:tr w:rsidR="001656EF" w:rsidRPr="0075454A" w14:paraId="5383CCB0" w14:textId="77777777" w:rsidTr="00454173">
        <w:trPr>
          <w:trHeight w:val="300"/>
        </w:trPr>
        <w:tc>
          <w:tcPr>
            <w:tcW w:w="2520" w:type="dxa"/>
            <w:tcBorders>
              <w:top w:val="nil"/>
              <w:left w:val="nil"/>
              <w:bottom w:val="single" w:sz="4" w:space="0" w:color="auto"/>
              <w:right w:val="nil"/>
            </w:tcBorders>
            <w:shd w:val="clear" w:color="auto" w:fill="auto"/>
            <w:noWrap/>
            <w:vAlign w:val="bottom"/>
            <w:hideMark/>
          </w:tcPr>
          <w:p w14:paraId="5F095357" w14:textId="04AAB144" w:rsidR="001656EF" w:rsidRPr="0051581E" w:rsidRDefault="001656EF" w:rsidP="0051581E">
            <w:pPr>
              <w:rPr>
                <w:rFonts w:ascii="Calibri" w:hAnsi="Calibri" w:cs="Calibri"/>
                <w:b/>
                <w:color w:val="000000"/>
                <w:sz w:val="20"/>
                <w:szCs w:val="20"/>
              </w:rPr>
            </w:pPr>
            <w:r w:rsidRPr="0075454A">
              <w:rPr>
                <w:rFonts w:ascii="Calibri" w:hAnsi="Calibri" w:cs="Calibri"/>
                <w:color w:val="000000"/>
                <w:sz w:val="20"/>
                <w:szCs w:val="20"/>
              </w:rPr>
              <w:t> </w:t>
            </w:r>
            <w:r w:rsidR="0051581E" w:rsidRPr="0051581E">
              <w:rPr>
                <w:rFonts w:ascii="Calibri" w:hAnsi="Calibri" w:cs="Calibri"/>
                <w:b/>
                <w:color w:val="000000"/>
                <w:sz w:val="20"/>
                <w:szCs w:val="20"/>
              </w:rPr>
              <w:t>Independent</w:t>
            </w:r>
            <w:r w:rsidR="0051581E">
              <w:rPr>
                <w:rFonts w:ascii="Calibri" w:hAnsi="Calibri" w:cs="Calibri"/>
                <w:b/>
                <w:color w:val="000000"/>
                <w:sz w:val="20"/>
                <w:szCs w:val="20"/>
              </w:rPr>
              <w:t xml:space="preserve"> (</w:t>
            </w:r>
            <w:r w:rsidR="0051581E" w:rsidRPr="0051581E">
              <w:rPr>
                <w:rFonts w:ascii="Calibri" w:hAnsi="Calibri" w:cs="Calibri"/>
                <w:b/>
                <w:color w:val="000000"/>
                <w:sz w:val="20"/>
                <w:szCs w:val="20"/>
              </w:rPr>
              <w:t>logs</w:t>
            </w:r>
            <w:r w:rsidR="0051581E">
              <w:rPr>
                <w:rFonts w:ascii="Calibri" w:hAnsi="Calibri" w:cs="Calibri"/>
                <w:b/>
                <w:color w:val="000000"/>
                <w:sz w:val="20"/>
                <w:szCs w:val="20"/>
              </w:rPr>
              <w:t>)</w:t>
            </w:r>
          </w:p>
        </w:tc>
        <w:tc>
          <w:tcPr>
            <w:tcW w:w="1220" w:type="dxa"/>
            <w:tcBorders>
              <w:top w:val="nil"/>
              <w:left w:val="nil"/>
              <w:bottom w:val="single" w:sz="4" w:space="0" w:color="auto"/>
              <w:right w:val="nil"/>
            </w:tcBorders>
            <w:shd w:val="clear" w:color="auto" w:fill="auto"/>
            <w:noWrap/>
            <w:vAlign w:val="bottom"/>
            <w:hideMark/>
          </w:tcPr>
          <w:p w14:paraId="03CF14CA" w14:textId="1E66B4F3" w:rsidR="001656EF" w:rsidRPr="0075454A" w:rsidRDefault="001656EF" w:rsidP="007D4E31">
            <w:pPr>
              <w:jc w:val="center"/>
              <w:rPr>
                <w:rFonts w:ascii="Calibri" w:hAnsi="Calibri" w:cs="Calibri"/>
                <w:b/>
                <w:bCs/>
                <w:color w:val="000000"/>
                <w:sz w:val="20"/>
                <w:szCs w:val="20"/>
              </w:rPr>
            </w:pPr>
            <w:r w:rsidRPr="0075454A">
              <w:rPr>
                <w:rFonts w:ascii="Calibri" w:hAnsi="Calibri" w:cs="Calibri"/>
                <w:b/>
                <w:bCs/>
                <w:color w:val="000000"/>
                <w:sz w:val="20"/>
                <w:szCs w:val="20"/>
              </w:rPr>
              <w:t xml:space="preserve">No </w:t>
            </w:r>
            <w:r w:rsidR="007D4E31">
              <w:rPr>
                <w:rFonts w:ascii="Calibri" w:hAnsi="Calibri" w:cs="Calibri"/>
                <w:b/>
                <w:bCs/>
                <w:color w:val="000000"/>
                <w:sz w:val="20"/>
                <w:szCs w:val="20"/>
              </w:rPr>
              <w:t>Pop</w:t>
            </w:r>
          </w:p>
        </w:tc>
        <w:tc>
          <w:tcPr>
            <w:tcW w:w="1540" w:type="dxa"/>
            <w:tcBorders>
              <w:top w:val="nil"/>
              <w:left w:val="nil"/>
              <w:bottom w:val="single" w:sz="4" w:space="0" w:color="auto"/>
              <w:right w:val="nil"/>
            </w:tcBorders>
            <w:shd w:val="clear" w:color="auto" w:fill="auto"/>
            <w:noWrap/>
            <w:vAlign w:val="bottom"/>
            <w:hideMark/>
          </w:tcPr>
          <w:p w14:paraId="3A5D373D" w14:textId="2A3F3DE0" w:rsidR="001656EF" w:rsidRPr="0075454A" w:rsidRDefault="007D4E31" w:rsidP="00AA236D">
            <w:pPr>
              <w:jc w:val="center"/>
              <w:rPr>
                <w:rFonts w:ascii="Calibri" w:hAnsi="Calibri" w:cs="Calibri"/>
                <w:b/>
                <w:bCs/>
                <w:color w:val="000000"/>
                <w:sz w:val="20"/>
                <w:szCs w:val="20"/>
              </w:rPr>
            </w:pPr>
            <w:r>
              <w:rPr>
                <w:rFonts w:ascii="Calibri" w:hAnsi="Calibri" w:cs="Calibri"/>
                <w:b/>
                <w:bCs/>
                <w:color w:val="000000"/>
                <w:sz w:val="20"/>
                <w:szCs w:val="20"/>
              </w:rPr>
              <w:t xml:space="preserve">   </w:t>
            </w:r>
            <w:r w:rsidR="00AA236D">
              <w:rPr>
                <w:rFonts w:ascii="Calibri" w:hAnsi="Calibri" w:cs="Calibri"/>
                <w:b/>
                <w:bCs/>
                <w:color w:val="000000"/>
                <w:sz w:val="20"/>
                <w:szCs w:val="20"/>
              </w:rPr>
              <w:t xml:space="preserve">  </w:t>
            </w:r>
            <w:r>
              <w:rPr>
                <w:rFonts w:ascii="Calibri" w:hAnsi="Calibri" w:cs="Calibri"/>
                <w:b/>
                <w:bCs/>
                <w:color w:val="000000"/>
                <w:sz w:val="20"/>
                <w:szCs w:val="20"/>
              </w:rPr>
              <w:t xml:space="preserve">  </w:t>
            </w:r>
            <w:r w:rsidR="00AA236D">
              <w:rPr>
                <w:rFonts w:ascii="Calibri" w:hAnsi="Calibri" w:cs="Calibri"/>
                <w:b/>
                <w:bCs/>
                <w:color w:val="000000"/>
                <w:sz w:val="20"/>
                <w:szCs w:val="20"/>
              </w:rPr>
              <w:t>W</w:t>
            </w:r>
            <w:r>
              <w:rPr>
                <w:rFonts w:ascii="Calibri" w:hAnsi="Calibri" w:cs="Calibri"/>
                <w:b/>
                <w:bCs/>
                <w:color w:val="000000"/>
                <w:sz w:val="20"/>
                <w:szCs w:val="20"/>
              </w:rPr>
              <w:t xml:space="preserve">ith </w:t>
            </w:r>
            <w:r w:rsidR="001656EF" w:rsidRPr="0075454A">
              <w:rPr>
                <w:rFonts w:ascii="Calibri" w:hAnsi="Calibri" w:cs="Calibri"/>
                <w:b/>
                <w:bCs/>
                <w:color w:val="000000"/>
                <w:sz w:val="20"/>
                <w:szCs w:val="20"/>
              </w:rPr>
              <w:t>P</w:t>
            </w:r>
            <w:r>
              <w:rPr>
                <w:rFonts w:ascii="Calibri" w:hAnsi="Calibri" w:cs="Calibri"/>
                <w:b/>
                <w:bCs/>
                <w:color w:val="000000"/>
                <w:sz w:val="20"/>
                <w:szCs w:val="20"/>
              </w:rPr>
              <w:t>op</w:t>
            </w:r>
          </w:p>
        </w:tc>
        <w:tc>
          <w:tcPr>
            <w:tcW w:w="1540" w:type="dxa"/>
            <w:tcBorders>
              <w:top w:val="nil"/>
              <w:left w:val="nil"/>
              <w:bottom w:val="single" w:sz="4" w:space="0" w:color="auto"/>
              <w:right w:val="nil"/>
            </w:tcBorders>
            <w:shd w:val="clear" w:color="auto" w:fill="auto"/>
            <w:noWrap/>
            <w:vAlign w:val="bottom"/>
            <w:hideMark/>
          </w:tcPr>
          <w:p w14:paraId="251CFF4C" w14:textId="6EBF481E" w:rsidR="001656EF" w:rsidRPr="0075454A" w:rsidRDefault="008A7DD9" w:rsidP="00454173">
            <w:pPr>
              <w:jc w:val="center"/>
              <w:rPr>
                <w:rFonts w:ascii="Calibri" w:hAnsi="Calibri" w:cs="Calibri"/>
                <w:b/>
                <w:bCs/>
                <w:color w:val="000000"/>
                <w:sz w:val="20"/>
                <w:szCs w:val="20"/>
              </w:rPr>
            </w:pPr>
            <w:r>
              <w:rPr>
                <w:rFonts w:ascii="Calibri" w:hAnsi="Calibri" w:cs="Calibri"/>
                <w:b/>
                <w:bCs/>
                <w:color w:val="000000"/>
                <w:sz w:val="20"/>
                <w:szCs w:val="20"/>
              </w:rPr>
              <w:t xml:space="preserve">     </w:t>
            </w:r>
            <w:r w:rsidR="001656EF" w:rsidRPr="0075454A">
              <w:rPr>
                <w:rFonts w:ascii="Calibri" w:hAnsi="Calibri" w:cs="Calibri"/>
                <w:b/>
                <w:bCs/>
                <w:color w:val="000000"/>
                <w:sz w:val="20"/>
                <w:szCs w:val="20"/>
              </w:rPr>
              <w:t>No NYC</w:t>
            </w:r>
          </w:p>
        </w:tc>
        <w:tc>
          <w:tcPr>
            <w:tcW w:w="1540" w:type="dxa"/>
            <w:tcBorders>
              <w:top w:val="nil"/>
              <w:left w:val="nil"/>
              <w:bottom w:val="single" w:sz="4" w:space="0" w:color="auto"/>
              <w:right w:val="nil"/>
            </w:tcBorders>
            <w:shd w:val="clear" w:color="auto" w:fill="auto"/>
            <w:noWrap/>
            <w:vAlign w:val="bottom"/>
            <w:hideMark/>
          </w:tcPr>
          <w:p w14:paraId="647ABBCE" w14:textId="50955F9D" w:rsidR="001656EF" w:rsidRPr="0075454A" w:rsidRDefault="008A7DD9" w:rsidP="00C10B54">
            <w:pPr>
              <w:jc w:val="center"/>
              <w:rPr>
                <w:rFonts w:ascii="Calibri" w:hAnsi="Calibri" w:cs="Calibri"/>
                <w:b/>
                <w:bCs/>
                <w:color w:val="000000"/>
                <w:sz w:val="20"/>
                <w:szCs w:val="20"/>
              </w:rPr>
            </w:pPr>
            <w:r>
              <w:rPr>
                <w:rFonts w:ascii="Calibri" w:hAnsi="Calibri" w:cs="Calibri"/>
                <w:b/>
                <w:bCs/>
                <w:color w:val="000000"/>
                <w:sz w:val="20"/>
                <w:szCs w:val="20"/>
              </w:rPr>
              <w:t xml:space="preserve">     </w:t>
            </w:r>
            <w:r w:rsidR="0051581E">
              <w:rPr>
                <w:rFonts w:ascii="Calibri" w:hAnsi="Calibri" w:cs="Calibri"/>
                <w:b/>
                <w:bCs/>
                <w:color w:val="000000"/>
                <w:sz w:val="20"/>
                <w:szCs w:val="20"/>
              </w:rPr>
              <w:t>Case&gt;.01</w:t>
            </w:r>
            <w:r w:rsidR="00C10B54">
              <w:rPr>
                <w:rFonts w:ascii="Calibri" w:hAnsi="Calibri" w:cs="Calibri"/>
                <w:b/>
                <w:bCs/>
                <w:color w:val="000000"/>
                <w:sz w:val="20"/>
                <w:szCs w:val="20"/>
              </w:rPr>
              <w:t>%</w:t>
            </w:r>
          </w:p>
        </w:tc>
      </w:tr>
      <w:tr w:rsidR="001656EF" w:rsidRPr="008A7DD9" w14:paraId="0547C0E1" w14:textId="77777777" w:rsidTr="00454173">
        <w:trPr>
          <w:trHeight w:val="300"/>
        </w:trPr>
        <w:tc>
          <w:tcPr>
            <w:tcW w:w="2520" w:type="dxa"/>
            <w:tcBorders>
              <w:top w:val="nil"/>
              <w:left w:val="nil"/>
              <w:bottom w:val="nil"/>
              <w:right w:val="nil"/>
            </w:tcBorders>
            <w:shd w:val="clear" w:color="auto" w:fill="auto"/>
            <w:noWrap/>
            <w:vAlign w:val="center"/>
            <w:hideMark/>
          </w:tcPr>
          <w:p w14:paraId="025069A3" w14:textId="77777777" w:rsidR="001656EF" w:rsidRPr="008A7DD9" w:rsidRDefault="001656EF" w:rsidP="00454173">
            <w:pPr>
              <w:rPr>
                <w:rFonts w:asciiTheme="minorHAnsi" w:hAnsiTheme="minorHAnsi" w:cstheme="minorHAnsi"/>
                <w:color w:val="000000"/>
                <w:sz w:val="20"/>
                <w:szCs w:val="20"/>
              </w:rPr>
            </w:pPr>
            <w:r w:rsidRPr="008A7DD9">
              <w:rPr>
                <w:rFonts w:asciiTheme="minorHAnsi" w:hAnsiTheme="minorHAnsi" w:cstheme="minorHAnsi"/>
                <w:color w:val="000000"/>
                <w:sz w:val="20"/>
                <w:szCs w:val="20"/>
              </w:rPr>
              <w:t>R-squared</w:t>
            </w:r>
          </w:p>
        </w:tc>
        <w:tc>
          <w:tcPr>
            <w:tcW w:w="1220" w:type="dxa"/>
            <w:tcBorders>
              <w:top w:val="nil"/>
              <w:left w:val="nil"/>
              <w:bottom w:val="nil"/>
              <w:right w:val="nil"/>
            </w:tcBorders>
            <w:shd w:val="clear" w:color="auto" w:fill="auto"/>
            <w:noWrap/>
            <w:vAlign w:val="bottom"/>
            <w:hideMark/>
          </w:tcPr>
          <w:p w14:paraId="61F142B1"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.6506</w:t>
            </w:r>
          </w:p>
        </w:tc>
        <w:tc>
          <w:tcPr>
            <w:tcW w:w="1540" w:type="dxa"/>
            <w:tcBorders>
              <w:top w:val="nil"/>
              <w:left w:val="nil"/>
              <w:bottom w:val="nil"/>
              <w:right w:val="nil"/>
            </w:tcBorders>
            <w:shd w:val="clear" w:color="auto" w:fill="auto"/>
            <w:noWrap/>
            <w:vAlign w:val="bottom"/>
            <w:hideMark/>
          </w:tcPr>
          <w:p w14:paraId="7F986E25"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0.7946</w:t>
            </w:r>
          </w:p>
        </w:tc>
        <w:tc>
          <w:tcPr>
            <w:tcW w:w="1540" w:type="dxa"/>
            <w:tcBorders>
              <w:top w:val="nil"/>
              <w:left w:val="nil"/>
              <w:bottom w:val="nil"/>
              <w:right w:val="nil"/>
            </w:tcBorders>
            <w:shd w:val="clear" w:color="auto" w:fill="auto"/>
            <w:noWrap/>
            <w:vAlign w:val="bottom"/>
            <w:hideMark/>
          </w:tcPr>
          <w:p w14:paraId="15C67D3A"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0.7892</w:t>
            </w:r>
          </w:p>
        </w:tc>
        <w:tc>
          <w:tcPr>
            <w:tcW w:w="1540" w:type="dxa"/>
            <w:tcBorders>
              <w:top w:val="nil"/>
              <w:left w:val="nil"/>
              <w:bottom w:val="nil"/>
              <w:right w:val="nil"/>
            </w:tcBorders>
            <w:shd w:val="clear" w:color="auto" w:fill="auto"/>
            <w:noWrap/>
            <w:vAlign w:val="bottom"/>
            <w:hideMark/>
          </w:tcPr>
          <w:p w14:paraId="7ABED03D"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.9166</w:t>
            </w:r>
          </w:p>
        </w:tc>
      </w:tr>
      <w:tr w:rsidR="001656EF" w:rsidRPr="008A7DD9" w14:paraId="1E0614F0" w14:textId="77777777" w:rsidTr="00454173">
        <w:trPr>
          <w:trHeight w:val="300"/>
        </w:trPr>
        <w:tc>
          <w:tcPr>
            <w:tcW w:w="2520" w:type="dxa"/>
            <w:tcBorders>
              <w:top w:val="nil"/>
              <w:left w:val="nil"/>
              <w:bottom w:val="nil"/>
              <w:right w:val="nil"/>
            </w:tcBorders>
            <w:shd w:val="clear" w:color="auto" w:fill="auto"/>
            <w:noWrap/>
            <w:vAlign w:val="center"/>
            <w:hideMark/>
          </w:tcPr>
          <w:p w14:paraId="2CBF3003" w14:textId="77777777" w:rsidR="001656EF" w:rsidRPr="008A7DD9" w:rsidRDefault="001656EF" w:rsidP="00454173">
            <w:pPr>
              <w:rPr>
                <w:rFonts w:asciiTheme="minorHAnsi" w:hAnsiTheme="minorHAnsi" w:cstheme="minorHAnsi"/>
                <w:color w:val="000000"/>
                <w:sz w:val="20"/>
                <w:szCs w:val="20"/>
              </w:rPr>
            </w:pPr>
            <w:r w:rsidRPr="008A7DD9">
              <w:rPr>
                <w:rFonts w:asciiTheme="minorHAnsi" w:hAnsiTheme="minorHAnsi" w:cstheme="minorHAnsi"/>
                <w:color w:val="000000"/>
                <w:sz w:val="20"/>
                <w:szCs w:val="20"/>
              </w:rPr>
              <w:t>Constant</w:t>
            </w:r>
          </w:p>
        </w:tc>
        <w:tc>
          <w:tcPr>
            <w:tcW w:w="1220" w:type="dxa"/>
            <w:tcBorders>
              <w:top w:val="nil"/>
              <w:left w:val="nil"/>
              <w:bottom w:val="nil"/>
              <w:right w:val="nil"/>
            </w:tcBorders>
            <w:shd w:val="clear" w:color="auto" w:fill="auto"/>
            <w:noWrap/>
            <w:vAlign w:val="bottom"/>
            <w:hideMark/>
          </w:tcPr>
          <w:p w14:paraId="3DA1A660"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-23.6333</w:t>
            </w:r>
          </w:p>
        </w:tc>
        <w:tc>
          <w:tcPr>
            <w:tcW w:w="1540" w:type="dxa"/>
            <w:tcBorders>
              <w:top w:val="nil"/>
              <w:left w:val="nil"/>
              <w:bottom w:val="nil"/>
              <w:right w:val="nil"/>
            </w:tcBorders>
            <w:shd w:val="clear" w:color="auto" w:fill="auto"/>
            <w:noWrap/>
            <w:vAlign w:val="bottom"/>
            <w:hideMark/>
          </w:tcPr>
          <w:p w14:paraId="7D788F0E"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-20.6795</w:t>
            </w:r>
          </w:p>
        </w:tc>
        <w:tc>
          <w:tcPr>
            <w:tcW w:w="1540" w:type="dxa"/>
            <w:tcBorders>
              <w:top w:val="nil"/>
              <w:left w:val="nil"/>
              <w:bottom w:val="nil"/>
              <w:right w:val="nil"/>
            </w:tcBorders>
            <w:shd w:val="clear" w:color="auto" w:fill="auto"/>
            <w:noWrap/>
            <w:vAlign w:val="bottom"/>
            <w:hideMark/>
          </w:tcPr>
          <w:p w14:paraId="151518A8"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-19.9248</w:t>
            </w:r>
          </w:p>
        </w:tc>
        <w:tc>
          <w:tcPr>
            <w:tcW w:w="1540" w:type="dxa"/>
            <w:tcBorders>
              <w:top w:val="nil"/>
              <w:left w:val="nil"/>
              <w:bottom w:val="nil"/>
              <w:right w:val="nil"/>
            </w:tcBorders>
            <w:shd w:val="clear" w:color="auto" w:fill="auto"/>
            <w:noWrap/>
            <w:vAlign w:val="bottom"/>
            <w:hideMark/>
          </w:tcPr>
          <w:p w14:paraId="655F8F37"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-8.5378</w:t>
            </w:r>
          </w:p>
        </w:tc>
      </w:tr>
      <w:tr w:rsidR="001656EF" w:rsidRPr="008A7DD9" w14:paraId="62400B9A" w14:textId="77777777" w:rsidTr="00454173">
        <w:trPr>
          <w:trHeight w:val="300"/>
        </w:trPr>
        <w:tc>
          <w:tcPr>
            <w:tcW w:w="2520" w:type="dxa"/>
            <w:tcBorders>
              <w:top w:val="nil"/>
              <w:left w:val="nil"/>
              <w:bottom w:val="nil"/>
              <w:right w:val="nil"/>
            </w:tcBorders>
            <w:shd w:val="clear" w:color="auto" w:fill="auto"/>
            <w:noWrap/>
            <w:vAlign w:val="center"/>
            <w:hideMark/>
          </w:tcPr>
          <w:p w14:paraId="6A5DFA80" w14:textId="77777777" w:rsidR="001656EF" w:rsidRPr="008A7DD9" w:rsidRDefault="001656EF" w:rsidP="00454173">
            <w:pPr>
              <w:rPr>
                <w:rFonts w:asciiTheme="minorHAnsi" w:hAnsiTheme="minorHAnsi" w:cstheme="minorHAnsi"/>
                <w:color w:val="000000"/>
                <w:sz w:val="20"/>
                <w:szCs w:val="20"/>
              </w:rPr>
            </w:pPr>
            <w:r w:rsidRPr="008A7DD9">
              <w:rPr>
                <w:rFonts w:asciiTheme="minorHAnsi" w:hAnsiTheme="minorHAnsi" w:cstheme="minorHAnsi"/>
                <w:color w:val="000000"/>
                <w:sz w:val="20"/>
                <w:szCs w:val="20"/>
              </w:rPr>
              <w:t>Population</w:t>
            </w:r>
          </w:p>
        </w:tc>
        <w:tc>
          <w:tcPr>
            <w:tcW w:w="1220" w:type="dxa"/>
            <w:tcBorders>
              <w:top w:val="nil"/>
              <w:left w:val="nil"/>
              <w:bottom w:val="nil"/>
              <w:right w:val="nil"/>
            </w:tcBorders>
            <w:shd w:val="clear" w:color="auto" w:fill="auto"/>
            <w:noWrap/>
            <w:vAlign w:val="bottom"/>
            <w:hideMark/>
          </w:tcPr>
          <w:p w14:paraId="325FECFF" w14:textId="77777777" w:rsidR="001656EF" w:rsidRPr="008A7DD9" w:rsidRDefault="001656EF" w:rsidP="00454173">
            <w:pPr>
              <w:rPr>
                <w:rFonts w:asciiTheme="minorHAnsi" w:hAnsiTheme="minorHAnsi" w:cstheme="minorHAnsi"/>
                <w:color w:val="000000"/>
                <w:sz w:val="20"/>
                <w:szCs w:val="20"/>
              </w:rPr>
            </w:pPr>
          </w:p>
        </w:tc>
        <w:tc>
          <w:tcPr>
            <w:tcW w:w="1540" w:type="dxa"/>
            <w:tcBorders>
              <w:top w:val="nil"/>
              <w:left w:val="nil"/>
              <w:bottom w:val="nil"/>
              <w:right w:val="nil"/>
            </w:tcBorders>
            <w:shd w:val="clear" w:color="auto" w:fill="auto"/>
            <w:noWrap/>
            <w:vAlign w:val="bottom"/>
            <w:hideMark/>
          </w:tcPr>
          <w:p w14:paraId="2513CD14"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0.9779***</w:t>
            </w:r>
          </w:p>
        </w:tc>
        <w:tc>
          <w:tcPr>
            <w:tcW w:w="1540" w:type="dxa"/>
            <w:tcBorders>
              <w:top w:val="nil"/>
              <w:left w:val="nil"/>
              <w:bottom w:val="nil"/>
              <w:right w:val="nil"/>
            </w:tcBorders>
            <w:shd w:val="clear" w:color="auto" w:fill="auto"/>
            <w:noWrap/>
            <w:vAlign w:val="bottom"/>
            <w:hideMark/>
          </w:tcPr>
          <w:p w14:paraId="03AF34F6"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0.9534***</w:t>
            </w:r>
          </w:p>
        </w:tc>
        <w:tc>
          <w:tcPr>
            <w:tcW w:w="1540" w:type="dxa"/>
            <w:tcBorders>
              <w:top w:val="nil"/>
              <w:left w:val="nil"/>
              <w:bottom w:val="nil"/>
              <w:right w:val="nil"/>
            </w:tcBorders>
            <w:shd w:val="clear" w:color="auto" w:fill="auto"/>
            <w:noWrap/>
            <w:vAlign w:val="bottom"/>
            <w:hideMark/>
          </w:tcPr>
          <w:p w14:paraId="738F79C9"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1.0459***</w:t>
            </w:r>
          </w:p>
        </w:tc>
      </w:tr>
      <w:tr w:rsidR="001656EF" w:rsidRPr="008A7DD9" w14:paraId="661469F0" w14:textId="77777777" w:rsidTr="00454173">
        <w:trPr>
          <w:trHeight w:val="300"/>
        </w:trPr>
        <w:tc>
          <w:tcPr>
            <w:tcW w:w="2520" w:type="dxa"/>
            <w:tcBorders>
              <w:top w:val="nil"/>
              <w:left w:val="nil"/>
              <w:bottom w:val="nil"/>
              <w:right w:val="nil"/>
            </w:tcBorders>
            <w:shd w:val="clear" w:color="auto" w:fill="auto"/>
            <w:noWrap/>
            <w:vAlign w:val="bottom"/>
            <w:hideMark/>
          </w:tcPr>
          <w:p w14:paraId="4E0A0F40" w14:textId="77777777" w:rsidR="001656EF" w:rsidRPr="008A7DD9" w:rsidRDefault="001656EF" w:rsidP="00454173">
            <w:pPr>
              <w:jc w:val="right"/>
              <w:rPr>
                <w:rFonts w:asciiTheme="minorHAnsi" w:hAnsiTheme="minorHAnsi" w:cstheme="minorHAnsi"/>
                <w:color w:val="000000"/>
                <w:sz w:val="20"/>
                <w:szCs w:val="20"/>
              </w:rPr>
            </w:pPr>
          </w:p>
        </w:tc>
        <w:tc>
          <w:tcPr>
            <w:tcW w:w="1220" w:type="dxa"/>
            <w:tcBorders>
              <w:top w:val="nil"/>
              <w:left w:val="nil"/>
              <w:bottom w:val="nil"/>
              <w:right w:val="nil"/>
            </w:tcBorders>
            <w:shd w:val="clear" w:color="auto" w:fill="auto"/>
            <w:noWrap/>
            <w:vAlign w:val="bottom"/>
            <w:hideMark/>
          </w:tcPr>
          <w:p w14:paraId="72F7F133" w14:textId="77777777" w:rsidR="001656EF" w:rsidRPr="008A7DD9" w:rsidRDefault="001656EF" w:rsidP="00454173">
            <w:pPr>
              <w:rPr>
                <w:rFonts w:asciiTheme="minorHAnsi" w:hAnsiTheme="minorHAnsi" w:cstheme="minorHAnsi"/>
                <w:sz w:val="20"/>
                <w:szCs w:val="20"/>
              </w:rPr>
            </w:pPr>
          </w:p>
        </w:tc>
        <w:tc>
          <w:tcPr>
            <w:tcW w:w="1540" w:type="dxa"/>
            <w:tcBorders>
              <w:top w:val="nil"/>
              <w:left w:val="nil"/>
              <w:bottom w:val="nil"/>
              <w:right w:val="nil"/>
            </w:tcBorders>
            <w:shd w:val="clear" w:color="auto" w:fill="auto"/>
            <w:noWrap/>
            <w:vAlign w:val="bottom"/>
            <w:hideMark/>
          </w:tcPr>
          <w:p w14:paraId="2CED2166"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(0.067)</w:t>
            </w:r>
          </w:p>
        </w:tc>
        <w:tc>
          <w:tcPr>
            <w:tcW w:w="1540" w:type="dxa"/>
            <w:tcBorders>
              <w:top w:val="nil"/>
              <w:left w:val="nil"/>
              <w:bottom w:val="nil"/>
              <w:right w:val="nil"/>
            </w:tcBorders>
            <w:shd w:val="clear" w:color="auto" w:fill="auto"/>
            <w:noWrap/>
            <w:vAlign w:val="bottom"/>
            <w:hideMark/>
          </w:tcPr>
          <w:p w14:paraId="202700E0"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(0.062)</w:t>
            </w:r>
          </w:p>
        </w:tc>
        <w:tc>
          <w:tcPr>
            <w:tcW w:w="1540" w:type="dxa"/>
            <w:tcBorders>
              <w:top w:val="nil"/>
              <w:left w:val="nil"/>
              <w:bottom w:val="nil"/>
              <w:right w:val="nil"/>
            </w:tcBorders>
            <w:shd w:val="clear" w:color="auto" w:fill="auto"/>
            <w:noWrap/>
            <w:vAlign w:val="bottom"/>
            <w:hideMark/>
          </w:tcPr>
          <w:p w14:paraId="13595B68"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(0.040)</w:t>
            </w:r>
          </w:p>
        </w:tc>
      </w:tr>
      <w:tr w:rsidR="001656EF" w:rsidRPr="008A7DD9" w14:paraId="14F06B25" w14:textId="77777777" w:rsidTr="00454173">
        <w:trPr>
          <w:trHeight w:val="300"/>
        </w:trPr>
        <w:tc>
          <w:tcPr>
            <w:tcW w:w="2520" w:type="dxa"/>
            <w:tcBorders>
              <w:top w:val="nil"/>
              <w:left w:val="nil"/>
              <w:bottom w:val="nil"/>
              <w:right w:val="nil"/>
            </w:tcBorders>
            <w:shd w:val="clear" w:color="auto" w:fill="auto"/>
            <w:noWrap/>
            <w:vAlign w:val="center"/>
            <w:hideMark/>
          </w:tcPr>
          <w:p w14:paraId="38310F21" w14:textId="77777777" w:rsidR="001656EF" w:rsidRPr="008A7DD9" w:rsidRDefault="001656EF" w:rsidP="00454173">
            <w:pPr>
              <w:rPr>
                <w:rFonts w:asciiTheme="minorHAnsi" w:hAnsiTheme="minorHAnsi" w:cstheme="minorHAnsi"/>
                <w:color w:val="000000"/>
                <w:sz w:val="20"/>
                <w:szCs w:val="20"/>
              </w:rPr>
            </w:pPr>
            <w:r w:rsidRPr="008A7DD9">
              <w:rPr>
                <w:rFonts w:asciiTheme="minorHAnsi" w:hAnsiTheme="minorHAnsi" w:cstheme="minorHAnsi"/>
                <w:color w:val="000000"/>
                <w:sz w:val="20"/>
                <w:szCs w:val="20"/>
              </w:rPr>
              <w:t>Density</w:t>
            </w:r>
          </w:p>
        </w:tc>
        <w:tc>
          <w:tcPr>
            <w:tcW w:w="1220" w:type="dxa"/>
            <w:tcBorders>
              <w:top w:val="nil"/>
              <w:left w:val="nil"/>
              <w:bottom w:val="nil"/>
              <w:right w:val="nil"/>
            </w:tcBorders>
            <w:shd w:val="clear" w:color="auto" w:fill="auto"/>
            <w:noWrap/>
            <w:vAlign w:val="bottom"/>
            <w:hideMark/>
          </w:tcPr>
          <w:p w14:paraId="4D1E30E4"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-0.5675***</w:t>
            </w:r>
          </w:p>
        </w:tc>
        <w:tc>
          <w:tcPr>
            <w:tcW w:w="1540" w:type="dxa"/>
            <w:tcBorders>
              <w:top w:val="nil"/>
              <w:left w:val="nil"/>
              <w:bottom w:val="nil"/>
              <w:right w:val="nil"/>
            </w:tcBorders>
            <w:shd w:val="clear" w:color="auto" w:fill="auto"/>
            <w:noWrap/>
            <w:vAlign w:val="bottom"/>
            <w:hideMark/>
          </w:tcPr>
          <w:p w14:paraId="1A4674BF"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0.0646</w:t>
            </w:r>
          </w:p>
        </w:tc>
        <w:tc>
          <w:tcPr>
            <w:tcW w:w="1540" w:type="dxa"/>
            <w:tcBorders>
              <w:top w:val="nil"/>
              <w:left w:val="nil"/>
              <w:bottom w:val="nil"/>
              <w:right w:val="nil"/>
            </w:tcBorders>
            <w:shd w:val="clear" w:color="auto" w:fill="auto"/>
            <w:noWrap/>
            <w:vAlign w:val="bottom"/>
            <w:hideMark/>
          </w:tcPr>
          <w:p w14:paraId="1BF975AB"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0.0626</w:t>
            </w:r>
          </w:p>
        </w:tc>
        <w:tc>
          <w:tcPr>
            <w:tcW w:w="1540" w:type="dxa"/>
            <w:tcBorders>
              <w:top w:val="nil"/>
              <w:left w:val="nil"/>
              <w:bottom w:val="nil"/>
              <w:right w:val="nil"/>
            </w:tcBorders>
            <w:shd w:val="clear" w:color="auto" w:fill="auto"/>
            <w:noWrap/>
            <w:vAlign w:val="bottom"/>
            <w:hideMark/>
          </w:tcPr>
          <w:p w14:paraId="4C23D007"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0.0628</w:t>
            </w:r>
          </w:p>
        </w:tc>
      </w:tr>
      <w:tr w:rsidR="001656EF" w:rsidRPr="008A7DD9" w14:paraId="6ECC746D" w14:textId="77777777" w:rsidTr="00454173">
        <w:trPr>
          <w:trHeight w:val="300"/>
        </w:trPr>
        <w:tc>
          <w:tcPr>
            <w:tcW w:w="2520" w:type="dxa"/>
            <w:tcBorders>
              <w:top w:val="nil"/>
              <w:left w:val="nil"/>
              <w:bottom w:val="nil"/>
              <w:right w:val="nil"/>
            </w:tcBorders>
            <w:shd w:val="clear" w:color="auto" w:fill="auto"/>
            <w:noWrap/>
            <w:vAlign w:val="bottom"/>
            <w:hideMark/>
          </w:tcPr>
          <w:p w14:paraId="664B32AC" w14:textId="77777777" w:rsidR="001656EF" w:rsidRPr="008A7DD9" w:rsidRDefault="001656EF" w:rsidP="00454173">
            <w:pPr>
              <w:jc w:val="right"/>
              <w:rPr>
                <w:rFonts w:asciiTheme="minorHAnsi" w:hAnsiTheme="minorHAnsi" w:cstheme="minorHAnsi"/>
                <w:color w:val="000000"/>
                <w:sz w:val="20"/>
                <w:szCs w:val="20"/>
              </w:rPr>
            </w:pPr>
          </w:p>
        </w:tc>
        <w:tc>
          <w:tcPr>
            <w:tcW w:w="1220" w:type="dxa"/>
            <w:tcBorders>
              <w:top w:val="nil"/>
              <w:left w:val="nil"/>
              <w:bottom w:val="nil"/>
              <w:right w:val="nil"/>
            </w:tcBorders>
            <w:shd w:val="clear" w:color="auto" w:fill="auto"/>
            <w:noWrap/>
            <w:vAlign w:val="bottom"/>
            <w:hideMark/>
          </w:tcPr>
          <w:p w14:paraId="6DE3CE38"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(0.079)</w:t>
            </w:r>
          </w:p>
        </w:tc>
        <w:tc>
          <w:tcPr>
            <w:tcW w:w="1540" w:type="dxa"/>
            <w:tcBorders>
              <w:top w:val="nil"/>
              <w:left w:val="nil"/>
              <w:bottom w:val="nil"/>
              <w:right w:val="nil"/>
            </w:tcBorders>
            <w:shd w:val="clear" w:color="auto" w:fill="auto"/>
            <w:noWrap/>
            <w:vAlign w:val="bottom"/>
            <w:hideMark/>
          </w:tcPr>
          <w:p w14:paraId="576B1D19"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(0.065)</w:t>
            </w:r>
          </w:p>
        </w:tc>
        <w:tc>
          <w:tcPr>
            <w:tcW w:w="1540" w:type="dxa"/>
            <w:tcBorders>
              <w:top w:val="nil"/>
              <w:left w:val="nil"/>
              <w:bottom w:val="nil"/>
              <w:right w:val="nil"/>
            </w:tcBorders>
            <w:shd w:val="clear" w:color="auto" w:fill="auto"/>
            <w:noWrap/>
            <w:vAlign w:val="bottom"/>
            <w:hideMark/>
          </w:tcPr>
          <w:p w14:paraId="43483182"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(0.064)</w:t>
            </w:r>
          </w:p>
        </w:tc>
        <w:tc>
          <w:tcPr>
            <w:tcW w:w="1540" w:type="dxa"/>
            <w:tcBorders>
              <w:top w:val="nil"/>
              <w:left w:val="nil"/>
              <w:bottom w:val="nil"/>
              <w:right w:val="nil"/>
            </w:tcBorders>
            <w:shd w:val="clear" w:color="auto" w:fill="auto"/>
            <w:noWrap/>
            <w:vAlign w:val="bottom"/>
            <w:hideMark/>
          </w:tcPr>
          <w:p w14:paraId="43A01182"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(0.043)</w:t>
            </w:r>
          </w:p>
        </w:tc>
      </w:tr>
      <w:tr w:rsidR="001656EF" w:rsidRPr="008A7DD9" w14:paraId="4590CFAA" w14:textId="77777777" w:rsidTr="00454173">
        <w:trPr>
          <w:trHeight w:val="300"/>
        </w:trPr>
        <w:tc>
          <w:tcPr>
            <w:tcW w:w="2520" w:type="dxa"/>
            <w:tcBorders>
              <w:top w:val="nil"/>
              <w:left w:val="nil"/>
              <w:bottom w:val="nil"/>
              <w:right w:val="nil"/>
            </w:tcBorders>
            <w:shd w:val="clear" w:color="auto" w:fill="auto"/>
            <w:noWrap/>
            <w:vAlign w:val="center"/>
            <w:hideMark/>
          </w:tcPr>
          <w:p w14:paraId="349B6F63" w14:textId="77777777" w:rsidR="001656EF" w:rsidRPr="008A7DD9" w:rsidRDefault="001656EF" w:rsidP="00454173">
            <w:pPr>
              <w:rPr>
                <w:rFonts w:asciiTheme="minorHAnsi" w:hAnsiTheme="minorHAnsi" w:cstheme="minorHAnsi"/>
                <w:color w:val="000000"/>
                <w:sz w:val="20"/>
                <w:szCs w:val="20"/>
              </w:rPr>
            </w:pPr>
            <w:r w:rsidRPr="008A7DD9">
              <w:rPr>
                <w:rFonts w:asciiTheme="minorHAnsi" w:hAnsiTheme="minorHAnsi" w:cstheme="minorHAnsi"/>
                <w:color w:val="000000"/>
                <w:sz w:val="20"/>
                <w:szCs w:val="20"/>
              </w:rPr>
              <w:t>Per Capital Income</w:t>
            </w:r>
          </w:p>
        </w:tc>
        <w:tc>
          <w:tcPr>
            <w:tcW w:w="1220" w:type="dxa"/>
            <w:tcBorders>
              <w:top w:val="nil"/>
              <w:left w:val="nil"/>
              <w:bottom w:val="nil"/>
              <w:right w:val="nil"/>
            </w:tcBorders>
            <w:shd w:val="clear" w:color="auto" w:fill="auto"/>
            <w:noWrap/>
            <w:vAlign w:val="bottom"/>
            <w:hideMark/>
          </w:tcPr>
          <w:p w14:paraId="4A0CF11F"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1.7551***</w:t>
            </w:r>
          </w:p>
        </w:tc>
        <w:tc>
          <w:tcPr>
            <w:tcW w:w="1540" w:type="dxa"/>
            <w:tcBorders>
              <w:top w:val="nil"/>
              <w:left w:val="nil"/>
              <w:bottom w:val="nil"/>
              <w:right w:val="nil"/>
            </w:tcBorders>
            <w:shd w:val="clear" w:color="auto" w:fill="auto"/>
            <w:noWrap/>
            <w:vAlign w:val="bottom"/>
            <w:hideMark/>
          </w:tcPr>
          <w:p w14:paraId="6D8B0907"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0.9102***</w:t>
            </w:r>
          </w:p>
        </w:tc>
        <w:tc>
          <w:tcPr>
            <w:tcW w:w="1540" w:type="dxa"/>
            <w:tcBorders>
              <w:top w:val="nil"/>
              <w:left w:val="nil"/>
              <w:bottom w:val="nil"/>
              <w:right w:val="nil"/>
            </w:tcBorders>
            <w:shd w:val="clear" w:color="auto" w:fill="auto"/>
            <w:noWrap/>
            <w:vAlign w:val="bottom"/>
            <w:hideMark/>
          </w:tcPr>
          <w:p w14:paraId="09E6386C"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0.8779***</w:t>
            </w:r>
          </w:p>
        </w:tc>
        <w:tc>
          <w:tcPr>
            <w:tcW w:w="1540" w:type="dxa"/>
            <w:tcBorders>
              <w:top w:val="nil"/>
              <w:left w:val="nil"/>
              <w:bottom w:val="nil"/>
              <w:right w:val="nil"/>
            </w:tcBorders>
            <w:shd w:val="clear" w:color="auto" w:fill="auto"/>
            <w:noWrap/>
            <w:vAlign w:val="bottom"/>
            <w:hideMark/>
          </w:tcPr>
          <w:p w14:paraId="600F49D8"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-0.1410</w:t>
            </w:r>
          </w:p>
        </w:tc>
      </w:tr>
      <w:tr w:rsidR="001656EF" w:rsidRPr="008A7DD9" w14:paraId="29AC9ACE" w14:textId="77777777" w:rsidTr="00454173">
        <w:trPr>
          <w:trHeight w:val="300"/>
        </w:trPr>
        <w:tc>
          <w:tcPr>
            <w:tcW w:w="2520" w:type="dxa"/>
            <w:tcBorders>
              <w:top w:val="nil"/>
              <w:left w:val="nil"/>
              <w:bottom w:val="nil"/>
              <w:right w:val="nil"/>
            </w:tcBorders>
            <w:shd w:val="clear" w:color="auto" w:fill="auto"/>
            <w:noWrap/>
            <w:vAlign w:val="bottom"/>
            <w:hideMark/>
          </w:tcPr>
          <w:p w14:paraId="5F7B91AF" w14:textId="77777777" w:rsidR="001656EF" w:rsidRPr="008A7DD9" w:rsidRDefault="001656EF" w:rsidP="00454173">
            <w:pPr>
              <w:jc w:val="right"/>
              <w:rPr>
                <w:rFonts w:asciiTheme="minorHAnsi" w:hAnsiTheme="minorHAnsi" w:cstheme="minorHAnsi"/>
                <w:color w:val="000000"/>
                <w:sz w:val="20"/>
                <w:szCs w:val="20"/>
              </w:rPr>
            </w:pPr>
          </w:p>
        </w:tc>
        <w:tc>
          <w:tcPr>
            <w:tcW w:w="1220" w:type="dxa"/>
            <w:tcBorders>
              <w:top w:val="nil"/>
              <w:left w:val="nil"/>
              <w:bottom w:val="nil"/>
              <w:right w:val="nil"/>
            </w:tcBorders>
            <w:shd w:val="clear" w:color="auto" w:fill="auto"/>
            <w:noWrap/>
            <w:vAlign w:val="bottom"/>
            <w:hideMark/>
          </w:tcPr>
          <w:p w14:paraId="2290DA1E"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(0.343)</w:t>
            </w:r>
          </w:p>
        </w:tc>
        <w:tc>
          <w:tcPr>
            <w:tcW w:w="1540" w:type="dxa"/>
            <w:tcBorders>
              <w:top w:val="nil"/>
              <w:left w:val="nil"/>
              <w:bottom w:val="nil"/>
              <w:right w:val="nil"/>
            </w:tcBorders>
            <w:shd w:val="clear" w:color="auto" w:fill="auto"/>
            <w:noWrap/>
            <w:vAlign w:val="bottom"/>
            <w:hideMark/>
          </w:tcPr>
          <w:p w14:paraId="2A0C67D3"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(0.284)</w:t>
            </w:r>
          </w:p>
        </w:tc>
        <w:tc>
          <w:tcPr>
            <w:tcW w:w="1540" w:type="dxa"/>
            <w:tcBorders>
              <w:top w:val="nil"/>
              <w:left w:val="nil"/>
              <w:bottom w:val="nil"/>
              <w:right w:val="nil"/>
            </w:tcBorders>
            <w:shd w:val="clear" w:color="auto" w:fill="auto"/>
            <w:noWrap/>
            <w:vAlign w:val="bottom"/>
            <w:hideMark/>
          </w:tcPr>
          <w:p w14:paraId="38F7C299"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(0.284)</w:t>
            </w:r>
          </w:p>
        </w:tc>
        <w:tc>
          <w:tcPr>
            <w:tcW w:w="1540" w:type="dxa"/>
            <w:tcBorders>
              <w:top w:val="nil"/>
              <w:left w:val="nil"/>
              <w:bottom w:val="nil"/>
              <w:right w:val="nil"/>
            </w:tcBorders>
            <w:shd w:val="clear" w:color="auto" w:fill="auto"/>
            <w:noWrap/>
            <w:vAlign w:val="bottom"/>
            <w:hideMark/>
          </w:tcPr>
          <w:p w14:paraId="13F14339"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(0.220)</w:t>
            </w:r>
          </w:p>
        </w:tc>
      </w:tr>
      <w:tr w:rsidR="001656EF" w:rsidRPr="008A7DD9" w14:paraId="7D8AFC96" w14:textId="77777777" w:rsidTr="00454173">
        <w:trPr>
          <w:trHeight w:val="300"/>
        </w:trPr>
        <w:tc>
          <w:tcPr>
            <w:tcW w:w="2520" w:type="dxa"/>
            <w:tcBorders>
              <w:top w:val="nil"/>
              <w:left w:val="nil"/>
              <w:bottom w:val="nil"/>
              <w:right w:val="nil"/>
            </w:tcBorders>
            <w:shd w:val="clear" w:color="auto" w:fill="auto"/>
            <w:noWrap/>
            <w:vAlign w:val="center"/>
            <w:hideMark/>
          </w:tcPr>
          <w:p w14:paraId="5DBB940C" w14:textId="77777777" w:rsidR="001656EF" w:rsidRPr="008A7DD9" w:rsidRDefault="001656EF" w:rsidP="00454173">
            <w:pPr>
              <w:rPr>
                <w:rFonts w:asciiTheme="minorHAnsi" w:hAnsiTheme="minorHAnsi" w:cstheme="minorHAnsi"/>
                <w:color w:val="000000"/>
                <w:sz w:val="20"/>
                <w:szCs w:val="20"/>
              </w:rPr>
            </w:pPr>
            <w:r w:rsidRPr="008A7DD9">
              <w:rPr>
                <w:rFonts w:asciiTheme="minorHAnsi" w:hAnsiTheme="minorHAnsi" w:cstheme="minorHAnsi"/>
                <w:color w:val="000000"/>
                <w:sz w:val="20"/>
                <w:szCs w:val="20"/>
              </w:rPr>
              <w:t>Days</w:t>
            </w:r>
          </w:p>
        </w:tc>
        <w:tc>
          <w:tcPr>
            <w:tcW w:w="1220" w:type="dxa"/>
            <w:tcBorders>
              <w:top w:val="nil"/>
              <w:left w:val="nil"/>
              <w:bottom w:val="nil"/>
              <w:right w:val="nil"/>
            </w:tcBorders>
            <w:shd w:val="clear" w:color="auto" w:fill="auto"/>
            <w:noWrap/>
            <w:vAlign w:val="bottom"/>
            <w:hideMark/>
          </w:tcPr>
          <w:p w14:paraId="002B6795"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1.7793***</w:t>
            </w:r>
          </w:p>
        </w:tc>
        <w:tc>
          <w:tcPr>
            <w:tcW w:w="1540" w:type="dxa"/>
            <w:tcBorders>
              <w:top w:val="nil"/>
              <w:left w:val="nil"/>
              <w:bottom w:val="nil"/>
              <w:right w:val="nil"/>
            </w:tcBorders>
            <w:shd w:val="clear" w:color="auto" w:fill="auto"/>
            <w:noWrap/>
            <w:vAlign w:val="bottom"/>
            <w:hideMark/>
          </w:tcPr>
          <w:p w14:paraId="1C315CBA"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0.9713***</w:t>
            </w:r>
          </w:p>
        </w:tc>
        <w:tc>
          <w:tcPr>
            <w:tcW w:w="1540" w:type="dxa"/>
            <w:tcBorders>
              <w:top w:val="nil"/>
              <w:left w:val="nil"/>
              <w:bottom w:val="nil"/>
              <w:right w:val="nil"/>
            </w:tcBorders>
            <w:shd w:val="clear" w:color="auto" w:fill="auto"/>
            <w:noWrap/>
            <w:vAlign w:val="bottom"/>
            <w:hideMark/>
          </w:tcPr>
          <w:p w14:paraId="2CBF1BBF"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0.9958***</w:t>
            </w:r>
          </w:p>
        </w:tc>
        <w:tc>
          <w:tcPr>
            <w:tcW w:w="1540" w:type="dxa"/>
            <w:tcBorders>
              <w:top w:val="nil"/>
              <w:left w:val="nil"/>
              <w:bottom w:val="nil"/>
              <w:right w:val="nil"/>
            </w:tcBorders>
            <w:shd w:val="clear" w:color="auto" w:fill="auto"/>
            <w:noWrap/>
            <w:vAlign w:val="bottom"/>
            <w:hideMark/>
          </w:tcPr>
          <w:p w14:paraId="3A983DE3"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0.7058***</w:t>
            </w:r>
          </w:p>
        </w:tc>
      </w:tr>
      <w:tr w:rsidR="001656EF" w:rsidRPr="008A7DD9" w14:paraId="7A7273EC" w14:textId="77777777" w:rsidTr="00454173">
        <w:trPr>
          <w:trHeight w:val="300"/>
        </w:trPr>
        <w:tc>
          <w:tcPr>
            <w:tcW w:w="2520" w:type="dxa"/>
            <w:tcBorders>
              <w:top w:val="nil"/>
              <w:left w:val="nil"/>
              <w:bottom w:val="nil"/>
              <w:right w:val="nil"/>
            </w:tcBorders>
            <w:shd w:val="clear" w:color="auto" w:fill="auto"/>
            <w:noWrap/>
            <w:vAlign w:val="bottom"/>
            <w:hideMark/>
          </w:tcPr>
          <w:p w14:paraId="5808FF80" w14:textId="77777777" w:rsidR="001656EF" w:rsidRPr="008A7DD9" w:rsidRDefault="001656EF" w:rsidP="00454173">
            <w:pPr>
              <w:jc w:val="right"/>
              <w:rPr>
                <w:rFonts w:asciiTheme="minorHAnsi" w:hAnsiTheme="minorHAnsi" w:cstheme="minorHAnsi"/>
                <w:color w:val="000000"/>
                <w:sz w:val="20"/>
                <w:szCs w:val="20"/>
              </w:rPr>
            </w:pPr>
          </w:p>
        </w:tc>
        <w:tc>
          <w:tcPr>
            <w:tcW w:w="1220" w:type="dxa"/>
            <w:tcBorders>
              <w:top w:val="nil"/>
              <w:left w:val="nil"/>
              <w:bottom w:val="nil"/>
              <w:right w:val="nil"/>
            </w:tcBorders>
            <w:shd w:val="clear" w:color="auto" w:fill="auto"/>
            <w:noWrap/>
            <w:vAlign w:val="bottom"/>
            <w:hideMark/>
          </w:tcPr>
          <w:p w14:paraId="6C3EB8D3"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(0.122)</w:t>
            </w:r>
          </w:p>
        </w:tc>
        <w:tc>
          <w:tcPr>
            <w:tcW w:w="1540" w:type="dxa"/>
            <w:tcBorders>
              <w:top w:val="nil"/>
              <w:left w:val="nil"/>
              <w:bottom w:val="nil"/>
              <w:right w:val="nil"/>
            </w:tcBorders>
            <w:shd w:val="clear" w:color="auto" w:fill="auto"/>
            <w:noWrap/>
            <w:vAlign w:val="bottom"/>
            <w:hideMark/>
          </w:tcPr>
          <w:p w14:paraId="3D456300"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(0.121)</w:t>
            </w:r>
          </w:p>
        </w:tc>
        <w:tc>
          <w:tcPr>
            <w:tcW w:w="1540" w:type="dxa"/>
            <w:tcBorders>
              <w:top w:val="nil"/>
              <w:left w:val="nil"/>
              <w:bottom w:val="nil"/>
              <w:right w:val="nil"/>
            </w:tcBorders>
            <w:shd w:val="clear" w:color="auto" w:fill="auto"/>
            <w:noWrap/>
            <w:vAlign w:val="bottom"/>
            <w:hideMark/>
          </w:tcPr>
          <w:p w14:paraId="29F3C3A7"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(0.119)</w:t>
            </w:r>
          </w:p>
        </w:tc>
        <w:tc>
          <w:tcPr>
            <w:tcW w:w="1540" w:type="dxa"/>
            <w:tcBorders>
              <w:top w:val="nil"/>
              <w:left w:val="nil"/>
              <w:bottom w:val="nil"/>
              <w:right w:val="nil"/>
            </w:tcBorders>
            <w:shd w:val="clear" w:color="auto" w:fill="auto"/>
            <w:noWrap/>
            <w:vAlign w:val="bottom"/>
            <w:hideMark/>
          </w:tcPr>
          <w:p w14:paraId="07A5B08B"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(0.047)</w:t>
            </w:r>
          </w:p>
        </w:tc>
      </w:tr>
      <w:tr w:rsidR="001656EF" w:rsidRPr="008A7DD9" w14:paraId="6C778738" w14:textId="77777777" w:rsidTr="00454173">
        <w:trPr>
          <w:trHeight w:val="300"/>
        </w:trPr>
        <w:tc>
          <w:tcPr>
            <w:tcW w:w="2520" w:type="dxa"/>
            <w:tcBorders>
              <w:top w:val="nil"/>
              <w:left w:val="nil"/>
              <w:bottom w:val="nil"/>
              <w:right w:val="nil"/>
            </w:tcBorders>
            <w:shd w:val="clear" w:color="auto" w:fill="auto"/>
            <w:noWrap/>
            <w:vAlign w:val="center"/>
            <w:hideMark/>
          </w:tcPr>
          <w:p w14:paraId="13D6241E" w14:textId="77777777" w:rsidR="001656EF" w:rsidRPr="008A7DD9" w:rsidRDefault="001656EF" w:rsidP="00454173">
            <w:pPr>
              <w:rPr>
                <w:rFonts w:asciiTheme="minorHAnsi" w:hAnsiTheme="minorHAnsi" w:cstheme="minorHAnsi"/>
                <w:color w:val="000000"/>
                <w:sz w:val="20"/>
                <w:szCs w:val="20"/>
              </w:rPr>
            </w:pPr>
            <w:r w:rsidRPr="008A7DD9">
              <w:rPr>
                <w:rFonts w:asciiTheme="minorHAnsi" w:hAnsiTheme="minorHAnsi" w:cstheme="minorHAnsi"/>
                <w:color w:val="000000"/>
                <w:sz w:val="20"/>
                <w:szCs w:val="20"/>
              </w:rPr>
              <w:t>Household Size</w:t>
            </w:r>
          </w:p>
        </w:tc>
        <w:tc>
          <w:tcPr>
            <w:tcW w:w="1220" w:type="dxa"/>
            <w:tcBorders>
              <w:top w:val="nil"/>
              <w:left w:val="nil"/>
              <w:bottom w:val="nil"/>
              <w:right w:val="nil"/>
            </w:tcBorders>
            <w:shd w:val="clear" w:color="auto" w:fill="auto"/>
            <w:noWrap/>
            <w:vAlign w:val="bottom"/>
            <w:hideMark/>
          </w:tcPr>
          <w:p w14:paraId="19343E49"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0.8983</w:t>
            </w:r>
          </w:p>
        </w:tc>
        <w:tc>
          <w:tcPr>
            <w:tcW w:w="1540" w:type="dxa"/>
            <w:tcBorders>
              <w:top w:val="nil"/>
              <w:left w:val="nil"/>
              <w:bottom w:val="nil"/>
              <w:right w:val="nil"/>
            </w:tcBorders>
            <w:shd w:val="clear" w:color="auto" w:fill="auto"/>
            <w:noWrap/>
            <w:vAlign w:val="bottom"/>
            <w:hideMark/>
          </w:tcPr>
          <w:p w14:paraId="04463085"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-0.8948*</w:t>
            </w:r>
          </w:p>
        </w:tc>
        <w:tc>
          <w:tcPr>
            <w:tcW w:w="1540" w:type="dxa"/>
            <w:tcBorders>
              <w:top w:val="nil"/>
              <w:left w:val="nil"/>
              <w:bottom w:val="nil"/>
              <w:right w:val="nil"/>
            </w:tcBorders>
            <w:shd w:val="clear" w:color="auto" w:fill="auto"/>
            <w:noWrap/>
            <w:vAlign w:val="bottom"/>
            <w:hideMark/>
          </w:tcPr>
          <w:p w14:paraId="13C0020F"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-0.4338**</w:t>
            </w:r>
          </w:p>
        </w:tc>
        <w:tc>
          <w:tcPr>
            <w:tcW w:w="1540" w:type="dxa"/>
            <w:tcBorders>
              <w:top w:val="nil"/>
              <w:left w:val="nil"/>
              <w:bottom w:val="nil"/>
              <w:right w:val="nil"/>
            </w:tcBorders>
            <w:shd w:val="clear" w:color="auto" w:fill="auto"/>
            <w:noWrap/>
            <w:vAlign w:val="bottom"/>
            <w:hideMark/>
          </w:tcPr>
          <w:p w14:paraId="481BC594"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-0.4643*</w:t>
            </w:r>
          </w:p>
        </w:tc>
      </w:tr>
      <w:tr w:rsidR="001656EF" w:rsidRPr="008A7DD9" w14:paraId="3E7C4A28" w14:textId="77777777" w:rsidTr="00454173">
        <w:trPr>
          <w:trHeight w:val="300"/>
        </w:trPr>
        <w:tc>
          <w:tcPr>
            <w:tcW w:w="2520" w:type="dxa"/>
            <w:tcBorders>
              <w:top w:val="nil"/>
              <w:left w:val="nil"/>
              <w:bottom w:val="nil"/>
              <w:right w:val="nil"/>
            </w:tcBorders>
            <w:shd w:val="clear" w:color="auto" w:fill="auto"/>
            <w:noWrap/>
            <w:vAlign w:val="bottom"/>
            <w:hideMark/>
          </w:tcPr>
          <w:p w14:paraId="408B61FC" w14:textId="77777777" w:rsidR="001656EF" w:rsidRPr="008A7DD9" w:rsidRDefault="001656EF" w:rsidP="00454173">
            <w:pPr>
              <w:jc w:val="right"/>
              <w:rPr>
                <w:rFonts w:asciiTheme="minorHAnsi" w:hAnsiTheme="minorHAnsi" w:cstheme="minorHAnsi"/>
                <w:color w:val="000000"/>
                <w:sz w:val="20"/>
                <w:szCs w:val="20"/>
              </w:rPr>
            </w:pPr>
          </w:p>
        </w:tc>
        <w:tc>
          <w:tcPr>
            <w:tcW w:w="1220" w:type="dxa"/>
            <w:tcBorders>
              <w:top w:val="nil"/>
              <w:left w:val="nil"/>
              <w:bottom w:val="nil"/>
              <w:right w:val="nil"/>
            </w:tcBorders>
            <w:shd w:val="clear" w:color="auto" w:fill="auto"/>
            <w:noWrap/>
            <w:vAlign w:val="bottom"/>
            <w:hideMark/>
          </w:tcPr>
          <w:p w14:paraId="3E3AD717"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(0.553)</w:t>
            </w:r>
          </w:p>
        </w:tc>
        <w:tc>
          <w:tcPr>
            <w:tcW w:w="1540" w:type="dxa"/>
            <w:tcBorders>
              <w:top w:val="nil"/>
              <w:left w:val="nil"/>
              <w:bottom w:val="nil"/>
              <w:right w:val="nil"/>
            </w:tcBorders>
            <w:shd w:val="clear" w:color="auto" w:fill="auto"/>
            <w:noWrap/>
            <w:vAlign w:val="bottom"/>
            <w:hideMark/>
          </w:tcPr>
          <w:p w14:paraId="725A5F53"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(0.496)</w:t>
            </w:r>
          </w:p>
        </w:tc>
        <w:tc>
          <w:tcPr>
            <w:tcW w:w="1540" w:type="dxa"/>
            <w:tcBorders>
              <w:top w:val="nil"/>
              <w:left w:val="nil"/>
              <w:bottom w:val="nil"/>
              <w:right w:val="nil"/>
            </w:tcBorders>
            <w:shd w:val="clear" w:color="auto" w:fill="auto"/>
            <w:noWrap/>
            <w:vAlign w:val="bottom"/>
            <w:hideMark/>
          </w:tcPr>
          <w:p w14:paraId="1007E86B"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(0.201)</w:t>
            </w:r>
          </w:p>
        </w:tc>
        <w:tc>
          <w:tcPr>
            <w:tcW w:w="1540" w:type="dxa"/>
            <w:tcBorders>
              <w:top w:val="nil"/>
              <w:left w:val="nil"/>
              <w:bottom w:val="nil"/>
              <w:right w:val="nil"/>
            </w:tcBorders>
            <w:shd w:val="clear" w:color="auto" w:fill="auto"/>
            <w:noWrap/>
            <w:vAlign w:val="bottom"/>
            <w:hideMark/>
          </w:tcPr>
          <w:p w14:paraId="1A6C0EB1"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(0.240)</w:t>
            </w:r>
          </w:p>
        </w:tc>
      </w:tr>
      <w:tr w:rsidR="001656EF" w:rsidRPr="008A7DD9" w14:paraId="3E173718" w14:textId="77777777" w:rsidTr="00454173">
        <w:trPr>
          <w:trHeight w:val="300"/>
        </w:trPr>
        <w:tc>
          <w:tcPr>
            <w:tcW w:w="2520" w:type="dxa"/>
            <w:tcBorders>
              <w:top w:val="nil"/>
              <w:left w:val="nil"/>
              <w:bottom w:val="nil"/>
              <w:right w:val="nil"/>
            </w:tcBorders>
            <w:shd w:val="clear" w:color="auto" w:fill="auto"/>
            <w:noWrap/>
            <w:vAlign w:val="center"/>
            <w:hideMark/>
          </w:tcPr>
          <w:p w14:paraId="4135C0AA" w14:textId="77777777" w:rsidR="001656EF" w:rsidRPr="008A7DD9" w:rsidRDefault="001656EF" w:rsidP="00454173">
            <w:pPr>
              <w:rPr>
                <w:rFonts w:asciiTheme="minorHAnsi" w:hAnsiTheme="minorHAnsi" w:cstheme="minorHAnsi"/>
                <w:color w:val="000000"/>
                <w:sz w:val="20"/>
                <w:szCs w:val="20"/>
              </w:rPr>
            </w:pPr>
            <w:r w:rsidRPr="008A7DD9">
              <w:rPr>
                <w:rFonts w:asciiTheme="minorHAnsi" w:hAnsiTheme="minorHAnsi" w:cstheme="minorHAnsi"/>
                <w:color w:val="000000"/>
                <w:sz w:val="20"/>
                <w:szCs w:val="20"/>
              </w:rPr>
              <w:t>% Population &gt;=65</w:t>
            </w:r>
          </w:p>
        </w:tc>
        <w:tc>
          <w:tcPr>
            <w:tcW w:w="1220" w:type="dxa"/>
            <w:tcBorders>
              <w:top w:val="nil"/>
              <w:left w:val="nil"/>
              <w:bottom w:val="nil"/>
              <w:right w:val="nil"/>
            </w:tcBorders>
            <w:shd w:val="clear" w:color="auto" w:fill="auto"/>
            <w:noWrap/>
            <w:vAlign w:val="bottom"/>
            <w:hideMark/>
          </w:tcPr>
          <w:p w14:paraId="462D1552"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-0.3078</w:t>
            </w:r>
          </w:p>
        </w:tc>
        <w:tc>
          <w:tcPr>
            <w:tcW w:w="1540" w:type="dxa"/>
            <w:tcBorders>
              <w:top w:val="nil"/>
              <w:left w:val="nil"/>
              <w:bottom w:val="nil"/>
              <w:right w:val="nil"/>
            </w:tcBorders>
            <w:shd w:val="clear" w:color="auto" w:fill="auto"/>
            <w:noWrap/>
            <w:vAlign w:val="bottom"/>
            <w:hideMark/>
          </w:tcPr>
          <w:p w14:paraId="4A97C347"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-0.2958</w:t>
            </w:r>
          </w:p>
        </w:tc>
        <w:tc>
          <w:tcPr>
            <w:tcW w:w="1540" w:type="dxa"/>
            <w:tcBorders>
              <w:top w:val="nil"/>
              <w:left w:val="nil"/>
              <w:bottom w:val="nil"/>
              <w:right w:val="nil"/>
            </w:tcBorders>
            <w:shd w:val="clear" w:color="auto" w:fill="auto"/>
            <w:noWrap/>
            <w:vAlign w:val="bottom"/>
            <w:hideMark/>
          </w:tcPr>
          <w:p w14:paraId="3B2B687D"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-0.3422</w:t>
            </w:r>
          </w:p>
        </w:tc>
        <w:tc>
          <w:tcPr>
            <w:tcW w:w="1540" w:type="dxa"/>
            <w:tcBorders>
              <w:top w:val="nil"/>
              <w:left w:val="nil"/>
              <w:bottom w:val="nil"/>
              <w:right w:val="nil"/>
            </w:tcBorders>
            <w:shd w:val="clear" w:color="auto" w:fill="auto"/>
            <w:noWrap/>
            <w:vAlign w:val="bottom"/>
            <w:hideMark/>
          </w:tcPr>
          <w:p w14:paraId="0B545A41"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-0.0473</w:t>
            </w:r>
          </w:p>
        </w:tc>
      </w:tr>
      <w:tr w:rsidR="001656EF" w:rsidRPr="008A7DD9" w14:paraId="762F8EBB" w14:textId="77777777" w:rsidTr="00454173">
        <w:trPr>
          <w:trHeight w:val="300"/>
        </w:trPr>
        <w:tc>
          <w:tcPr>
            <w:tcW w:w="2520" w:type="dxa"/>
            <w:tcBorders>
              <w:top w:val="nil"/>
              <w:left w:val="nil"/>
              <w:bottom w:val="single" w:sz="4" w:space="0" w:color="auto"/>
              <w:right w:val="nil"/>
            </w:tcBorders>
            <w:shd w:val="clear" w:color="auto" w:fill="auto"/>
            <w:noWrap/>
            <w:vAlign w:val="bottom"/>
            <w:hideMark/>
          </w:tcPr>
          <w:p w14:paraId="1BA97880" w14:textId="77777777" w:rsidR="001656EF" w:rsidRPr="008A7DD9" w:rsidRDefault="001656EF" w:rsidP="00454173">
            <w:pPr>
              <w:rPr>
                <w:rFonts w:asciiTheme="minorHAnsi" w:hAnsiTheme="minorHAnsi" w:cstheme="minorHAnsi"/>
                <w:color w:val="000000"/>
                <w:sz w:val="20"/>
                <w:szCs w:val="20"/>
              </w:rPr>
            </w:pPr>
            <w:r w:rsidRPr="008A7DD9">
              <w:rPr>
                <w:rFonts w:asciiTheme="minorHAnsi" w:hAnsiTheme="minorHAnsi" w:cstheme="minorHAnsi"/>
                <w:color w:val="000000"/>
                <w:sz w:val="20"/>
                <w:szCs w:val="20"/>
              </w:rPr>
              <w:t> </w:t>
            </w:r>
          </w:p>
        </w:tc>
        <w:tc>
          <w:tcPr>
            <w:tcW w:w="1220" w:type="dxa"/>
            <w:tcBorders>
              <w:top w:val="nil"/>
              <w:left w:val="nil"/>
              <w:bottom w:val="single" w:sz="4" w:space="0" w:color="auto"/>
              <w:right w:val="nil"/>
            </w:tcBorders>
            <w:shd w:val="clear" w:color="auto" w:fill="auto"/>
            <w:noWrap/>
            <w:vAlign w:val="bottom"/>
            <w:hideMark/>
          </w:tcPr>
          <w:p w14:paraId="4F8085BD"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(0.280)</w:t>
            </w:r>
          </w:p>
        </w:tc>
        <w:tc>
          <w:tcPr>
            <w:tcW w:w="1540" w:type="dxa"/>
            <w:tcBorders>
              <w:top w:val="nil"/>
              <w:left w:val="nil"/>
              <w:bottom w:val="single" w:sz="4" w:space="0" w:color="auto"/>
              <w:right w:val="nil"/>
            </w:tcBorders>
            <w:shd w:val="clear" w:color="auto" w:fill="auto"/>
            <w:noWrap/>
            <w:vAlign w:val="bottom"/>
            <w:hideMark/>
          </w:tcPr>
          <w:p w14:paraId="10978931"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(0.218)</w:t>
            </w:r>
          </w:p>
        </w:tc>
        <w:tc>
          <w:tcPr>
            <w:tcW w:w="1540" w:type="dxa"/>
            <w:tcBorders>
              <w:top w:val="nil"/>
              <w:left w:val="nil"/>
              <w:bottom w:val="single" w:sz="4" w:space="0" w:color="auto"/>
              <w:right w:val="nil"/>
            </w:tcBorders>
            <w:shd w:val="clear" w:color="auto" w:fill="auto"/>
            <w:noWrap/>
            <w:vAlign w:val="bottom"/>
            <w:hideMark/>
          </w:tcPr>
          <w:p w14:paraId="2076D500"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(0.213)</w:t>
            </w:r>
          </w:p>
        </w:tc>
        <w:tc>
          <w:tcPr>
            <w:tcW w:w="1540" w:type="dxa"/>
            <w:tcBorders>
              <w:top w:val="nil"/>
              <w:left w:val="nil"/>
              <w:bottom w:val="single" w:sz="4" w:space="0" w:color="auto"/>
              <w:right w:val="nil"/>
            </w:tcBorders>
            <w:shd w:val="clear" w:color="auto" w:fill="auto"/>
            <w:noWrap/>
            <w:vAlign w:val="bottom"/>
            <w:hideMark/>
          </w:tcPr>
          <w:p w14:paraId="09D61D52"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(0.116)</w:t>
            </w:r>
          </w:p>
        </w:tc>
      </w:tr>
      <w:tr w:rsidR="001656EF" w:rsidRPr="008A7DD9" w14:paraId="1FAC0DB6" w14:textId="77777777" w:rsidTr="00454173">
        <w:trPr>
          <w:trHeight w:val="300"/>
        </w:trPr>
        <w:tc>
          <w:tcPr>
            <w:tcW w:w="2520" w:type="dxa"/>
            <w:tcBorders>
              <w:top w:val="nil"/>
              <w:left w:val="nil"/>
              <w:bottom w:val="nil"/>
              <w:right w:val="nil"/>
            </w:tcBorders>
            <w:shd w:val="clear" w:color="auto" w:fill="auto"/>
            <w:noWrap/>
            <w:vAlign w:val="center"/>
            <w:hideMark/>
          </w:tcPr>
          <w:p w14:paraId="198381C4" w14:textId="77777777" w:rsidR="001656EF" w:rsidRPr="008A7DD9" w:rsidRDefault="001656EF" w:rsidP="00454173">
            <w:pPr>
              <w:rPr>
                <w:rFonts w:asciiTheme="minorHAnsi" w:hAnsiTheme="minorHAnsi" w:cstheme="minorHAnsi"/>
                <w:color w:val="000000"/>
                <w:sz w:val="20"/>
                <w:szCs w:val="20"/>
              </w:rPr>
            </w:pPr>
            <w:r w:rsidRPr="008A7DD9">
              <w:rPr>
                <w:rFonts w:asciiTheme="minorHAnsi" w:hAnsiTheme="minorHAnsi" w:cstheme="minorHAnsi"/>
                <w:color w:val="000000"/>
                <w:sz w:val="20"/>
                <w:szCs w:val="20"/>
              </w:rPr>
              <w:t>Number of Observations</w:t>
            </w:r>
          </w:p>
        </w:tc>
        <w:tc>
          <w:tcPr>
            <w:tcW w:w="1220" w:type="dxa"/>
            <w:tcBorders>
              <w:top w:val="nil"/>
              <w:left w:val="nil"/>
              <w:bottom w:val="nil"/>
              <w:right w:val="nil"/>
            </w:tcBorders>
            <w:shd w:val="clear" w:color="auto" w:fill="auto"/>
            <w:noWrap/>
            <w:vAlign w:val="bottom"/>
            <w:hideMark/>
          </w:tcPr>
          <w:p w14:paraId="6515E9FB"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372</w:t>
            </w:r>
          </w:p>
        </w:tc>
        <w:tc>
          <w:tcPr>
            <w:tcW w:w="1540" w:type="dxa"/>
            <w:tcBorders>
              <w:top w:val="nil"/>
              <w:left w:val="nil"/>
              <w:bottom w:val="nil"/>
              <w:right w:val="nil"/>
            </w:tcBorders>
            <w:shd w:val="clear" w:color="auto" w:fill="auto"/>
            <w:noWrap/>
            <w:vAlign w:val="bottom"/>
            <w:hideMark/>
          </w:tcPr>
          <w:p w14:paraId="14BE41B7" w14:textId="2B0904DE" w:rsidR="001656EF" w:rsidRPr="008A7DD9" w:rsidRDefault="00393BB1" w:rsidP="00454173">
            <w:pPr>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1656EF" w:rsidRPr="008A7DD9">
              <w:rPr>
                <w:rFonts w:asciiTheme="minorHAnsi" w:hAnsiTheme="minorHAnsi" w:cstheme="minorHAnsi"/>
                <w:color w:val="000000"/>
                <w:sz w:val="20"/>
                <w:szCs w:val="20"/>
              </w:rPr>
              <w:t>372</w:t>
            </w:r>
          </w:p>
        </w:tc>
        <w:tc>
          <w:tcPr>
            <w:tcW w:w="1540" w:type="dxa"/>
            <w:tcBorders>
              <w:top w:val="nil"/>
              <w:left w:val="nil"/>
              <w:bottom w:val="nil"/>
              <w:right w:val="nil"/>
            </w:tcBorders>
            <w:shd w:val="clear" w:color="auto" w:fill="auto"/>
            <w:noWrap/>
            <w:vAlign w:val="bottom"/>
            <w:hideMark/>
          </w:tcPr>
          <w:p w14:paraId="61EBC2CD"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371</w:t>
            </w:r>
          </w:p>
        </w:tc>
        <w:tc>
          <w:tcPr>
            <w:tcW w:w="1540" w:type="dxa"/>
            <w:tcBorders>
              <w:top w:val="nil"/>
              <w:left w:val="nil"/>
              <w:bottom w:val="nil"/>
              <w:right w:val="nil"/>
            </w:tcBorders>
            <w:shd w:val="clear" w:color="auto" w:fill="auto"/>
            <w:noWrap/>
            <w:vAlign w:val="bottom"/>
            <w:hideMark/>
          </w:tcPr>
          <w:p w14:paraId="2C9D0A97" w14:textId="77777777" w:rsidR="001656EF" w:rsidRPr="008A7DD9" w:rsidRDefault="001656EF" w:rsidP="00454173">
            <w:pPr>
              <w:jc w:val="right"/>
              <w:rPr>
                <w:rFonts w:asciiTheme="minorHAnsi" w:hAnsiTheme="minorHAnsi" w:cstheme="minorHAnsi"/>
                <w:color w:val="000000"/>
                <w:sz w:val="20"/>
                <w:szCs w:val="20"/>
              </w:rPr>
            </w:pPr>
            <w:r w:rsidRPr="008A7DD9">
              <w:rPr>
                <w:rFonts w:asciiTheme="minorHAnsi" w:hAnsiTheme="minorHAnsi" w:cstheme="minorHAnsi"/>
                <w:color w:val="000000"/>
                <w:sz w:val="20"/>
                <w:szCs w:val="20"/>
              </w:rPr>
              <w:t>261</w:t>
            </w:r>
          </w:p>
        </w:tc>
      </w:tr>
    </w:tbl>
    <w:p w14:paraId="16C2C9B0" w14:textId="1AC58DD2" w:rsidR="008A7DD9" w:rsidRDefault="008A7DD9" w:rsidP="008A7DD9">
      <w:r w:rsidRPr="00AA236D">
        <w:rPr>
          <w:rFonts w:asciiTheme="minorHAnsi" w:hAnsiTheme="minorHAnsi" w:cstheme="minorHAnsi"/>
          <w:sz w:val="20"/>
          <w:szCs w:val="20"/>
        </w:rPr>
        <w:t xml:space="preserve">Notes: Standard errors in parentheses.  *p 0.10, **p&lt;.05, ***p&lt;.01 (robust </w:t>
      </w:r>
      <w:r w:rsidR="00AA236D">
        <w:rPr>
          <w:rFonts w:asciiTheme="minorHAnsi" w:hAnsiTheme="minorHAnsi" w:cstheme="minorHAnsi"/>
          <w:sz w:val="20"/>
          <w:szCs w:val="20"/>
        </w:rPr>
        <w:t xml:space="preserve">standard </w:t>
      </w:r>
      <w:r w:rsidRPr="00AA236D">
        <w:rPr>
          <w:rFonts w:asciiTheme="minorHAnsi" w:hAnsiTheme="minorHAnsi" w:cstheme="minorHAnsi"/>
          <w:sz w:val="20"/>
          <w:szCs w:val="20"/>
        </w:rPr>
        <w:t>errors</w:t>
      </w:r>
      <w:r>
        <w:t>)</w:t>
      </w:r>
    </w:p>
    <w:p w14:paraId="381E7E00" w14:textId="3262B32C" w:rsidR="00564C6A" w:rsidRDefault="00564C6A" w:rsidP="00081B9B">
      <w:pPr>
        <w:rPr>
          <w:b/>
        </w:rPr>
      </w:pPr>
    </w:p>
    <w:p w14:paraId="06CD8DEE" w14:textId="3344888D" w:rsidR="00375E41" w:rsidRDefault="00624A03" w:rsidP="00081B9B">
      <w:r>
        <w:tab/>
        <w:t xml:space="preserve">The </w:t>
      </w:r>
      <w:r w:rsidR="00375E41">
        <w:t>first equation is a simple model of the raw # of cases. The Days coefficient is way above 1.0 implying a curve similar to an exponential (ever increasing) growth function. The second column</w:t>
      </w:r>
      <w:r w:rsidR="00B44992">
        <w:t>, however,</w:t>
      </w:r>
      <w:r w:rsidR="00375E41">
        <w:t xml:space="preserve"> essentially shows that this is the wrong way to model the disease. The coefficient on population is very close to 1 (not statistically different). A log model with such a coefficient is effectively the same as a model where the dependent variable is cases/population. </w:t>
      </w:r>
      <w:r w:rsidR="00375E41">
        <w:lastRenderedPageBreak/>
        <w:t>The fit of this model is substantially higher</w:t>
      </w:r>
      <w:r w:rsidR="00393BB1">
        <w:t xml:space="preserve"> than the first model</w:t>
      </w:r>
      <w:r w:rsidR="00454173">
        <w:t xml:space="preserve"> as unexplained variation drops by almost 45%</w:t>
      </w:r>
      <w:r w:rsidR="00375E41">
        <w:t xml:space="preserve">. </w:t>
      </w:r>
    </w:p>
    <w:p w14:paraId="45664C3D" w14:textId="77777777" w:rsidR="00454173" w:rsidRDefault="00375E41" w:rsidP="00081B9B">
      <w:r>
        <w:tab/>
      </w:r>
    </w:p>
    <w:p w14:paraId="07E6C382" w14:textId="00879D86" w:rsidR="00454173" w:rsidRDefault="00454173" w:rsidP="00081B9B">
      <w:r>
        <w:tab/>
        <w:t xml:space="preserve">The addition of population to the case equation also dramatically reduces the coefficient on number of days, from 1.78 down to .97. In this estimation, the impact of days is simply proportional to cases: cases at 40 days are twice that at 20… Medically speaking this is far more optimistic than the first model, although there still is no sign of “tapering”. </w:t>
      </w:r>
    </w:p>
    <w:p w14:paraId="4EA41B9A" w14:textId="77777777" w:rsidR="00454173" w:rsidRDefault="00454173" w:rsidP="00081B9B"/>
    <w:p w14:paraId="46FA55FA" w14:textId="555FBC1C" w:rsidR="00454173" w:rsidRDefault="00454173" w:rsidP="00454173">
      <w:r>
        <w:tab/>
        <w:t>Then in the final column, we limit the sample to just MSA with one or more case</w:t>
      </w:r>
      <w:r w:rsidR="00B44992">
        <w:t>s</w:t>
      </w:r>
      <w:r>
        <w:t xml:space="preserve"> per 10,000 residents.</w:t>
      </w:r>
      <w:r w:rsidR="00E664F1">
        <w:t xml:space="preserve"> </w:t>
      </w:r>
      <w:r>
        <w:t>This filter sheds 110 observations, and furthermore focuses on MSA</w:t>
      </w:r>
      <w:r w:rsidR="00E664F1">
        <w:t>s</w:t>
      </w:r>
      <w:r>
        <w:t xml:space="preserve"> where the disease is more advanced. This leads to a further drop in the coefficient on number of days, down to .70. At this value there is considerable tapering occurring and the curve will eventually reach a plateau. We experimented using a fixed minimum number of cases (20</w:t>
      </w:r>
      <w:r w:rsidR="00B44992">
        <w:t>)</w:t>
      </w:r>
      <w:r>
        <w:t xml:space="preserve">, but the point of the filter is to examine what the later part of the </w:t>
      </w:r>
      <w:r w:rsidR="00B44992">
        <w:t xml:space="preserve">case </w:t>
      </w:r>
      <w:r>
        <w:t xml:space="preserve">curve looks like. </w:t>
      </w:r>
      <w:r w:rsidR="00E33BFC">
        <w:t xml:space="preserve">If the basic model is cases/per capita then a common point on each area’s curve requires a per/capita filter. </w:t>
      </w:r>
    </w:p>
    <w:p w14:paraId="08913D43" w14:textId="77777777" w:rsidR="00E33BFC" w:rsidRDefault="00E33BFC" w:rsidP="000D2326"/>
    <w:p w14:paraId="794C121F" w14:textId="54C05144" w:rsidR="00A9544C" w:rsidRDefault="00624A03" w:rsidP="000D2326">
      <w:r>
        <w:tab/>
      </w:r>
      <w:r w:rsidR="00E33BFC">
        <w:t>In column 3, e</w:t>
      </w:r>
      <w:r>
        <w:t>liminating the NY MSA f</w:t>
      </w:r>
      <w:r w:rsidR="00A9544C">
        <w:t>r</w:t>
      </w:r>
      <w:r>
        <w:t xml:space="preserve">om the sample has little if any impact on fit </w:t>
      </w:r>
      <w:r w:rsidR="00B375DF">
        <w:t xml:space="preserve">or on </w:t>
      </w:r>
      <w:r>
        <w:t>coefficient</w:t>
      </w:r>
      <w:r w:rsidR="00A9199B">
        <w:t xml:space="preserve"> value</w:t>
      </w:r>
      <w:r w:rsidR="00A9544C">
        <w:t>s</w:t>
      </w:r>
      <w:r>
        <w:t xml:space="preserve">. This is remarkable give that this MSA has </w:t>
      </w:r>
      <w:r w:rsidR="000154E0">
        <w:t>3</w:t>
      </w:r>
      <w:r w:rsidR="00A9544C">
        <w:t xml:space="preserve">0% </w:t>
      </w:r>
      <w:r>
        <w:t>of the nation’</w:t>
      </w:r>
      <w:r w:rsidR="00A9544C">
        <w:t>s total cases</w:t>
      </w:r>
      <w:r w:rsidR="00E33BFC">
        <w:t xml:space="preserve">. This suggests </w:t>
      </w:r>
      <w:r w:rsidR="00A9544C">
        <w:t xml:space="preserve">NY simply lies </w:t>
      </w:r>
      <w:r w:rsidR="00A9199B">
        <w:t xml:space="preserve">at the end </w:t>
      </w:r>
      <w:r w:rsidR="00E33BFC">
        <w:t xml:space="preserve">of </w:t>
      </w:r>
      <w:r w:rsidR="00A9544C">
        <w:t>a regression line from the other MSA</w:t>
      </w:r>
      <w:r w:rsidR="0028668F">
        <w:t>s</w:t>
      </w:r>
      <w:r w:rsidR="00A9544C">
        <w:t xml:space="preserve">. Its high cases </w:t>
      </w:r>
      <w:r w:rsidR="00E33BFC">
        <w:t>(</w:t>
      </w:r>
      <w:r w:rsidR="005E63FE">
        <w:t>per capita</w:t>
      </w:r>
      <w:r w:rsidR="00E33BFC">
        <w:t xml:space="preserve">) </w:t>
      </w:r>
      <w:r w:rsidR="00A9544C">
        <w:t xml:space="preserve">likely result from </w:t>
      </w:r>
      <w:r w:rsidR="00E33BFC">
        <w:t xml:space="preserve">the </w:t>
      </w:r>
      <w:r w:rsidR="00BE49B2">
        <w:t>other covariates (</w:t>
      </w:r>
      <w:r w:rsidR="00A9544C">
        <w:t>longer exposure time</w:t>
      </w:r>
      <w:r w:rsidR="00BE49B2">
        <w:t xml:space="preserve">, </w:t>
      </w:r>
      <w:r w:rsidR="000154E0">
        <w:t>density</w:t>
      </w:r>
      <w:r w:rsidR="00E33BFC">
        <w:t>…</w:t>
      </w:r>
      <w:r w:rsidR="00BE49B2">
        <w:t>)</w:t>
      </w:r>
      <w:r w:rsidR="00A9544C">
        <w:t>.</w:t>
      </w:r>
    </w:p>
    <w:p w14:paraId="3FAD34F1" w14:textId="77777777" w:rsidR="00E33BFC" w:rsidRDefault="00E33BFC" w:rsidP="000D2326"/>
    <w:p w14:paraId="51D37EA1" w14:textId="4856197C" w:rsidR="00D779A9" w:rsidRDefault="006D0A91" w:rsidP="000D2326">
      <w:r>
        <w:tab/>
      </w:r>
      <w:r w:rsidR="00B44992">
        <w:t xml:space="preserve">The other covariates have very mixed impacts. </w:t>
      </w:r>
      <w:r w:rsidR="00264D39">
        <w:t xml:space="preserve">Density </w:t>
      </w:r>
      <w:r w:rsidR="00B44992">
        <w:t>(at least at the average MSA level) is never significant, and the same result holds for the population share over 65. Household size has a negative impact</w:t>
      </w:r>
      <w:r w:rsidR="00270971">
        <w:t xml:space="preserve"> that holds throughout, inferring greater contagion in a population of many single households relative to one with larger families. Finally, per capita income is very strong in the basic models suggesting the socializing is perhaps an income elastic activity. On the other hand</w:t>
      </w:r>
      <w:r w:rsidR="00E664F1">
        <w:t>,</w:t>
      </w:r>
      <w:r w:rsidR="00270971">
        <w:t xml:space="preserve"> the final column implies this may just be spurious, and that MSA</w:t>
      </w:r>
      <w:r w:rsidR="00E664F1">
        <w:t>s</w:t>
      </w:r>
      <w:r w:rsidR="00270971">
        <w:t xml:space="preserve"> where the disease is just starting happen to have lower </w:t>
      </w:r>
      <w:r w:rsidR="005E63FE">
        <w:t>per capita</w:t>
      </w:r>
      <w:r w:rsidR="00270971">
        <w:t xml:space="preserve"> incomes</w:t>
      </w:r>
    </w:p>
    <w:p w14:paraId="5922AEE9" w14:textId="77777777" w:rsidR="00D779A9" w:rsidRDefault="00D779A9" w:rsidP="000D2326"/>
    <w:p w14:paraId="41ED1D70" w14:textId="2A1C86CF" w:rsidR="00CA364D" w:rsidRDefault="00CA364D" w:rsidP="00CA364D">
      <w:pPr>
        <w:rPr>
          <w:b/>
        </w:rPr>
      </w:pPr>
      <w:r>
        <w:rPr>
          <w:b/>
        </w:rPr>
        <w:t xml:space="preserve">V. Modeling results: </w:t>
      </w:r>
      <w:r w:rsidR="00A953BF">
        <w:rPr>
          <w:b/>
        </w:rPr>
        <w:t>County Level Data (</w:t>
      </w:r>
      <w:r w:rsidR="00B728EF">
        <w:rPr>
          <w:b/>
        </w:rPr>
        <w:t>6</w:t>
      </w:r>
      <w:r w:rsidR="00EF4467">
        <w:rPr>
          <w:b/>
        </w:rPr>
        <w:t>28</w:t>
      </w:r>
      <w:r w:rsidR="00A953BF">
        <w:rPr>
          <w:b/>
        </w:rPr>
        <w:t xml:space="preserve"> </w:t>
      </w:r>
      <w:r w:rsidR="00B728EF">
        <w:rPr>
          <w:b/>
        </w:rPr>
        <w:t>cou</w:t>
      </w:r>
      <w:r w:rsidR="00A953BF">
        <w:rPr>
          <w:b/>
        </w:rPr>
        <w:t xml:space="preserve">nties) </w:t>
      </w:r>
    </w:p>
    <w:p w14:paraId="408F27A1" w14:textId="7938AE70" w:rsidR="009E079F" w:rsidRDefault="009E079F" w:rsidP="00CA364D"/>
    <w:p w14:paraId="40F3C8E7" w14:textId="15ADD2D8" w:rsidR="008A7DD9" w:rsidRDefault="00270971" w:rsidP="00CA364D">
      <w:r>
        <w:tab/>
        <w:t xml:space="preserve">When the same models are run over a larger number of counties, the results are virtually identical to the MSA regressions. The impact of population again shows that a </w:t>
      </w:r>
      <w:r w:rsidR="005E63FE">
        <w:t>per capita</w:t>
      </w:r>
      <w:r>
        <w:t xml:space="preserve"> model is superior to one with the raw </w:t>
      </w:r>
      <w:r w:rsidR="00E664F1">
        <w:t>number</w:t>
      </w:r>
      <w:r>
        <w:t xml:space="preserve"> of cases, and once again this has a huge impact on the coefficient of days since onset. Also again, a filter to examine the curve only once the disease is more established continues to reduce the </w:t>
      </w:r>
      <w:proofErr w:type="gramStart"/>
      <w:r>
        <w:t>days</w:t>
      </w:r>
      <w:proofErr w:type="gramEnd"/>
      <w:r>
        <w:t xml:space="preserve"> coefficient down into the range where tapering is observed. </w:t>
      </w:r>
    </w:p>
    <w:p w14:paraId="06FA8B72" w14:textId="54C45B4C" w:rsidR="00EF4467" w:rsidRDefault="00EF4467" w:rsidP="00CA364D"/>
    <w:p w14:paraId="0BEF4602" w14:textId="487E5EF1" w:rsidR="00EF4467" w:rsidRDefault="00EF4467" w:rsidP="00CA364D">
      <w:r>
        <w:tab/>
        <w:t xml:space="preserve">Household size and the over-65 population share continue to have weak impacts, and the impact of </w:t>
      </w:r>
      <w:r w:rsidR="005E63FE">
        <w:t>per capita</w:t>
      </w:r>
      <w:r>
        <w:t xml:space="preserve"> income is exactly the same – being strongly positive until the sample is limited to those counties with a more advanced case load. </w:t>
      </w:r>
    </w:p>
    <w:p w14:paraId="5C7C888E" w14:textId="308F9484" w:rsidR="00EF4467" w:rsidRDefault="00EF4467" w:rsidP="00CA364D"/>
    <w:p w14:paraId="5419E213" w14:textId="6BABDDF5" w:rsidR="00EF4467" w:rsidRDefault="00EF4467" w:rsidP="00EF4467">
      <w:r>
        <w:tab/>
        <w:t>Interestingly</w:t>
      </w:r>
      <w:r w:rsidR="007066D7">
        <w:t>,</w:t>
      </w:r>
      <w:r>
        <w:t xml:space="preserve"> density differences, now between counties, have a significant positive effect. Perhaps this reflects the better ability to identify and compare downtown versus more suburban areas at the county level. </w:t>
      </w:r>
      <w:r w:rsidR="007066D7">
        <w:t xml:space="preserve">The quantitative impact of this variable is quite strong as </w:t>
      </w:r>
      <w:r w:rsidR="007066D7">
        <w:lastRenderedPageBreak/>
        <w:t xml:space="preserve">density ranges across these counties from 10 to 70,000. </w:t>
      </w:r>
      <w:r w:rsidR="008F33B9">
        <w:t xml:space="preserve">Two standard deviations around the mean generates a 70% increase in disease cases. </w:t>
      </w:r>
    </w:p>
    <w:p w14:paraId="044131A3" w14:textId="40206B2F" w:rsidR="00EF4467" w:rsidRDefault="00EF4467" w:rsidP="00CA364D"/>
    <w:p w14:paraId="36BCAF89" w14:textId="7FA6DCDA" w:rsidR="00A06371" w:rsidRDefault="00A06371" w:rsidP="00CA364D"/>
    <w:p w14:paraId="3F739F57" w14:textId="77777777" w:rsidR="00A06371" w:rsidRDefault="00A06371" w:rsidP="00CA364D"/>
    <w:p w14:paraId="08641D45" w14:textId="77777777" w:rsidR="00270971" w:rsidRPr="008A7DD9" w:rsidRDefault="00270971" w:rsidP="00CA364D"/>
    <w:p w14:paraId="4EF03270" w14:textId="330D1F6A" w:rsidR="00CA364D" w:rsidRPr="008A7DD9" w:rsidRDefault="008A7DD9" w:rsidP="00CA364D">
      <w:pPr>
        <w:rPr>
          <w:b/>
        </w:rPr>
      </w:pPr>
      <w:r w:rsidRPr="008A7DD9">
        <w:rPr>
          <w:b/>
        </w:rPr>
        <w:t>Table 4: County Regressions</w:t>
      </w:r>
    </w:p>
    <w:tbl>
      <w:tblPr>
        <w:tblW w:w="7342" w:type="dxa"/>
        <w:tblLook w:val="04A0" w:firstRow="1" w:lastRow="0" w:firstColumn="1" w:lastColumn="0" w:noHBand="0" w:noVBand="1"/>
      </w:tblPr>
      <w:tblGrid>
        <w:gridCol w:w="2250"/>
        <w:gridCol w:w="1273"/>
        <w:gridCol w:w="1273"/>
        <w:gridCol w:w="1273"/>
        <w:gridCol w:w="1273"/>
      </w:tblGrid>
      <w:tr w:rsidR="008A7DD9" w:rsidRPr="00BB7773" w14:paraId="1E150ED5" w14:textId="77777777" w:rsidTr="008A7DD9">
        <w:trPr>
          <w:trHeight w:val="300"/>
        </w:trPr>
        <w:tc>
          <w:tcPr>
            <w:tcW w:w="2250" w:type="dxa"/>
            <w:tcBorders>
              <w:top w:val="nil"/>
              <w:left w:val="nil"/>
              <w:bottom w:val="single" w:sz="4" w:space="0" w:color="auto"/>
              <w:right w:val="nil"/>
            </w:tcBorders>
            <w:shd w:val="clear" w:color="auto" w:fill="auto"/>
            <w:noWrap/>
            <w:vAlign w:val="center"/>
            <w:hideMark/>
          </w:tcPr>
          <w:p w14:paraId="071C2C8D" w14:textId="1C640749" w:rsidR="008A7DD9" w:rsidRPr="00BB7773" w:rsidRDefault="00702E21" w:rsidP="00454173">
            <w:pPr>
              <w:jc w:val="center"/>
              <w:rPr>
                <w:rFonts w:ascii="Calibri" w:hAnsi="Calibri" w:cs="Calibri"/>
                <w:b/>
                <w:color w:val="000000"/>
                <w:sz w:val="20"/>
                <w:szCs w:val="20"/>
              </w:rPr>
            </w:pPr>
            <w:r>
              <w:rPr>
                <w:rFonts w:ascii="Calibri" w:hAnsi="Calibri" w:cs="Calibri"/>
                <w:b/>
                <w:color w:val="000000"/>
                <w:sz w:val="20"/>
                <w:szCs w:val="20"/>
              </w:rPr>
              <w:t>Independent (logs)</w:t>
            </w:r>
          </w:p>
        </w:tc>
        <w:tc>
          <w:tcPr>
            <w:tcW w:w="1273" w:type="dxa"/>
            <w:tcBorders>
              <w:top w:val="nil"/>
              <w:left w:val="nil"/>
              <w:bottom w:val="single" w:sz="4" w:space="0" w:color="auto"/>
              <w:right w:val="nil"/>
            </w:tcBorders>
            <w:shd w:val="clear" w:color="auto" w:fill="auto"/>
            <w:noWrap/>
            <w:vAlign w:val="bottom"/>
            <w:hideMark/>
          </w:tcPr>
          <w:p w14:paraId="5EE5C8FB" w14:textId="1F2890C8" w:rsidR="008A7DD9" w:rsidRPr="00BB7773" w:rsidRDefault="00AA236D" w:rsidP="00AA236D">
            <w:pPr>
              <w:jc w:val="center"/>
              <w:rPr>
                <w:rFonts w:ascii="Calibri" w:hAnsi="Calibri" w:cs="Calibri"/>
                <w:b/>
                <w:color w:val="000000"/>
                <w:sz w:val="20"/>
                <w:szCs w:val="20"/>
              </w:rPr>
            </w:pPr>
            <w:r>
              <w:rPr>
                <w:rFonts w:ascii="Calibri" w:hAnsi="Calibri" w:cs="Calibri"/>
                <w:b/>
                <w:color w:val="000000"/>
                <w:sz w:val="20"/>
                <w:szCs w:val="20"/>
              </w:rPr>
              <w:t xml:space="preserve">    </w:t>
            </w:r>
            <w:r w:rsidR="008A7DD9" w:rsidRPr="00BB7773">
              <w:rPr>
                <w:rFonts w:ascii="Calibri" w:hAnsi="Calibri" w:cs="Calibri"/>
                <w:b/>
                <w:color w:val="000000"/>
                <w:sz w:val="20"/>
                <w:szCs w:val="20"/>
              </w:rPr>
              <w:t xml:space="preserve">No </w:t>
            </w:r>
            <w:r>
              <w:rPr>
                <w:rFonts w:ascii="Calibri" w:hAnsi="Calibri" w:cs="Calibri"/>
                <w:b/>
                <w:color w:val="000000"/>
                <w:sz w:val="20"/>
                <w:szCs w:val="20"/>
              </w:rPr>
              <w:t>Pop</w:t>
            </w:r>
          </w:p>
        </w:tc>
        <w:tc>
          <w:tcPr>
            <w:tcW w:w="1273" w:type="dxa"/>
            <w:tcBorders>
              <w:top w:val="nil"/>
              <w:left w:val="nil"/>
              <w:bottom w:val="single" w:sz="4" w:space="0" w:color="auto"/>
              <w:right w:val="nil"/>
            </w:tcBorders>
            <w:shd w:val="clear" w:color="auto" w:fill="auto"/>
            <w:noWrap/>
            <w:vAlign w:val="bottom"/>
            <w:hideMark/>
          </w:tcPr>
          <w:p w14:paraId="305C2205" w14:textId="0B87D24B" w:rsidR="008A7DD9" w:rsidRPr="00BB7773" w:rsidRDefault="00AA236D" w:rsidP="00AA236D">
            <w:pPr>
              <w:jc w:val="center"/>
              <w:rPr>
                <w:rFonts w:ascii="Calibri" w:hAnsi="Calibri" w:cs="Calibri"/>
                <w:b/>
                <w:color w:val="000000"/>
                <w:sz w:val="20"/>
                <w:szCs w:val="20"/>
              </w:rPr>
            </w:pPr>
            <w:r>
              <w:rPr>
                <w:rFonts w:ascii="Calibri" w:hAnsi="Calibri" w:cs="Calibri"/>
                <w:b/>
                <w:color w:val="000000"/>
                <w:sz w:val="20"/>
                <w:szCs w:val="20"/>
              </w:rPr>
              <w:t xml:space="preserve">    With Pop</w:t>
            </w:r>
          </w:p>
        </w:tc>
        <w:tc>
          <w:tcPr>
            <w:tcW w:w="1273" w:type="dxa"/>
            <w:tcBorders>
              <w:top w:val="nil"/>
              <w:left w:val="nil"/>
              <w:bottom w:val="single" w:sz="4" w:space="0" w:color="auto"/>
              <w:right w:val="nil"/>
            </w:tcBorders>
            <w:shd w:val="clear" w:color="auto" w:fill="auto"/>
            <w:noWrap/>
            <w:vAlign w:val="bottom"/>
            <w:hideMark/>
          </w:tcPr>
          <w:p w14:paraId="5991F5AD" w14:textId="3650AA42" w:rsidR="008A7DD9" w:rsidRPr="00BB7773" w:rsidRDefault="00AA236D" w:rsidP="00AA236D">
            <w:pPr>
              <w:jc w:val="center"/>
              <w:rPr>
                <w:rFonts w:ascii="Calibri" w:hAnsi="Calibri" w:cs="Calibri"/>
                <w:b/>
                <w:color w:val="000000"/>
                <w:sz w:val="20"/>
                <w:szCs w:val="20"/>
              </w:rPr>
            </w:pPr>
            <w:r>
              <w:rPr>
                <w:rFonts w:ascii="Calibri" w:hAnsi="Calibri" w:cs="Calibri"/>
                <w:b/>
                <w:color w:val="000000"/>
                <w:sz w:val="20"/>
                <w:szCs w:val="20"/>
              </w:rPr>
              <w:t xml:space="preserve">    No </w:t>
            </w:r>
            <w:r w:rsidR="008A7DD9" w:rsidRPr="00BB7773">
              <w:rPr>
                <w:rFonts w:ascii="Calibri" w:hAnsi="Calibri" w:cs="Calibri"/>
                <w:b/>
                <w:color w:val="000000"/>
                <w:sz w:val="20"/>
                <w:szCs w:val="20"/>
              </w:rPr>
              <w:t>NYC</w:t>
            </w:r>
          </w:p>
        </w:tc>
        <w:tc>
          <w:tcPr>
            <w:tcW w:w="1273" w:type="dxa"/>
            <w:tcBorders>
              <w:top w:val="nil"/>
              <w:left w:val="nil"/>
              <w:bottom w:val="single" w:sz="4" w:space="0" w:color="auto"/>
              <w:right w:val="nil"/>
            </w:tcBorders>
            <w:shd w:val="clear" w:color="auto" w:fill="auto"/>
            <w:noWrap/>
            <w:vAlign w:val="bottom"/>
            <w:hideMark/>
          </w:tcPr>
          <w:p w14:paraId="4F8AE236" w14:textId="7F1CD2DA" w:rsidR="008A7DD9" w:rsidRPr="00BB7773" w:rsidRDefault="00AA236D" w:rsidP="00AA236D">
            <w:pPr>
              <w:jc w:val="center"/>
              <w:rPr>
                <w:rFonts w:ascii="Calibri" w:hAnsi="Calibri" w:cs="Calibri"/>
                <w:b/>
                <w:color w:val="000000"/>
                <w:sz w:val="20"/>
                <w:szCs w:val="20"/>
              </w:rPr>
            </w:pPr>
            <w:r>
              <w:rPr>
                <w:rFonts w:ascii="Calibri" w:hAnsi="Calibri" w:cs="Calibri"/>
                <w:b/>
                <w:color w:val="000000"/>
                <w:sz w:val="20"/>
                <w:szCs w:val="20"/>
              </w:rPr>
              <w:t>Case&gt;.01%</w:t>
            </w:r>
          </w:p>
        </w:tc>
      </w:tr>
      <w:tr w:rsidR="008A7DD9" w:rsidRPr="00BB7773" w14:paraId="079EFDB3" w14:textId="77777777" w:rsidTr="008A7DD9">
        <w:trPr>
          <w:trHeight w:val="300"/>
        </w:trPr>
        <w:tc>
          <w:tcPr>
            <w:tcW w:w="2250" w:type="dxa"/>
            <w:tcBorders>
              <w:top w:val="nil"/>
              <w:left w:val="nil"/>
              <w:bottom w:val="nil"/>
              <w:right w:val="nil"/>
            </w:tcBorders>
            <w:shd w:val="clear" w:color="auto" w:fill="auto"/>
            <w:noWrap/>
            <w:vAlign w:val="center"/>
            <w:hideMark/>
          </w:tcPr>
          <w:p w14:paraId="28E6B35C" w14:textId="77777777" w:rsidR="008A7DD9" w:rsidRPr="00BB7773" w:rsidRDefault="008A7DD9" w:rsidP="00454173">
            <w:pPr>
              <w:rPr>
                <w:rFonts w:ascii="Calibri" w:hAnsi="Calibri" w:cs="Calibri"/>
                <w:color w:val="000000"/>
                <w:sz w:val="20"/>
                <w:szCs w:val="20"/>
              </w:rPr>
            </w:pPr>
            <w:r w:rsidRPr="00BB7773">
              <w:rPr>
                <w:rFonts w:ascii="Calibri" w:hAnsi="Calibri" w:cs="Calibri"/>
                <w:color w:val="000000"/>
                <w:sz w:val="20"/>
              </w:rPr>
              <w:t>R-squared</w:t>
            </w:r>
          </w:p>
        </w:tc>
        <w:tc>
          <w:tcPr>
            <w:tcW w:w="1273" w:type="dxa"/>
            <w:tcBorders>
              <w:top w:val="nil"/>
              <w:left w:val="nil"/>
              <w:bottom w:val="nil"/>
              <w:right w:val="nil"/>
            </w:tcBorders>
            <w:shd w:val="clear" w:color="auto" w:fill="auto"/>
            <w:noWrap/>
            <w:vAlign w:val="bottom"/>
            <w:hideMark/>
          </w:tcPr>
          <w:p w14:paraId="357B89D1"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0.6500</w:t>
            </w:r>
          </w:p>
        </w:tc>
        <w:tc>
          <w:tcPr>
            <w:tcW w:w="1273" w:type="dxa"/>
            <w:tcBorders>
              <w:top w:val="nil"/>
              <w:left w:val="nil"/>
              <w:bottom w:val="nil"/>
              <w:right w:val="nil"/>
            </w:tcBorders>
            <w:shd w:val="clear" w:color="auto" w:fill="auto"/>
            <w:noWrap/>
            <w:vAlign w:val="bottom"/>
            <w:hideMark/>
          </w:tcPr>
          <w:p w14:paraId="5F62F602"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0.7464</w:t>
            </w:r>
          </w:p>
        </w:tc>
        <w:tc>
          <w:tcPr>
            <w:tcW w:w="1273" w:type="dxa"/>
            <w:tcBorders>
              <w:top w:val="nil"/>
              <w:left w:val="nil"/>
              <w:bottom w:val="nil"/>
              <w:right w:val="nil"/>
            </w:tcBorders>
            <w:shd w:val="clear" w:color="auto" w:fill="auto"/>
            <w:noWrap/>
            <w:vAlign w:val="bottom"/>
            <w:hideMark/>
          </w:tcPr>
          <w:p w14:paraId="728497D2"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0.7375</w:t>
            </w:r>
          </w:p>
        </w:tc>
        <w:tc>
          <w:tcPr>
            <w:tcW w:w="1273" w:type="dxa"/>
            <w:tcBorders>
              <w:top w:val="nil"/>
              <w:left w:val="nil"/>
              <w:bottom w:val="nil"/>
              <w:right w:val="nil"/>
            </w:tcBorders>
            <w:shd w:val="clear" w:color="auto" w:fill="auto"/>
            <w:noWrap/>
            <w:vAlign w:val="bottom"/>
            <w:hideMark/>
          </w:tcPr>
          <w:p w14:paraId="63C13F1C"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0.8723</w:t>
            </w:r>
          </w:p>
        </w:tc>
      </w:tr>
      <w:tr w:rsidR="008A7DD9" w:rsidRPr="00BB7773" w14:paraId="4A8FA7E8" w14:textId="77777777" w:rsidTr="008A7DD9">
        <w:trPr>
          <w:trHeight w:val="300"/>
        </w:trPr>
        <w:tc>
          <w:tcPr>
            <w:tcW w:w="2250" w:type="dxa"/>
            <w:tcBorders>
              <w:top w:val="nil"/>
              <w:left w:val="nil"/>
              <w:bottom w:val="nil"/>
              <w:right w:val="nil"/>
            </w:tcBorders>
            <w:shd w:val="clear" w:color="auto" w:fill="auto"/>
            <w:noWrap/>
            <w:vAlign w:val="center"/>
            <w:hideMark/>
          </w:tcPr>
          <w:p w14:paraId="79777E69" w14:textId="77777777" w:rsidR="008A7DD9" w:rsidRPr="00BB7773" w:rsidRDefault="008A7DD9" w:rsidP="00454173">
            <w:pPr>
              <w:rPr>
                <w:rFonts w:ascii="Calibri" w:hAnsi="Calibri" w:cs="Calibri"/>
                <w:color w:val="000000"/>
                <w:sz w:val="20"/>
                <w:szCs w:val="20"/>
              </w:rPr>
            </w:pPr>
            <w:r w:rsidRPr="00BB7773">
              <w:rPr>
                <w:rFonts w:ascii="Calibri" w:hAnsi="Calibri" w:cs="Calibri"/>
                <w:color w:val="000000"/>
                <w:sz w:val="20"/>
              </w:rPr>
              <w:t>Constant</w:t>
            </w:r>
          </w:p>
        </w:tc>
        <w:tc>
          <w:tcPr>
            <w:tcW w:w="1273" w:type="dxa"/>
            <w:tcBorders>
              <w:top w:val="nil"/>
              <w:left w:val="nil"/>
              <w:bottom w:val="nil"/>
              <w:right w:val="nil"/>
            </w:tcBorders>
            <w:shd w:val="clear" w:color="auto" w:fill="auto"/>
            <w:noWrap/>
            <w:vAlign w:val="bottom"/>
            <w:hideMark/>
          </w:tcPr>
          <w:p w14:paraId="78397FCC"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-10.3732</w:t>
            </w:r>
          </w:p>
        </w:tc>
        <w:tc>
          <w:tcPr>
            <w:tcW w:w="1273" w:type="dxa"/>
            <w:tcBorders>
              <w:top w:val="nil"/>
              <w:left w:val="nil"/>
              <w:bottom w:val="nil"/>
              <w:right w:val="nil"/>
            </w:tcBorders>
            <w:shd w:val="clear" w:color="auto" w:fill="auto"/>
            <w:noWrap/>
            <w:vAlign w:val="bottom"/>
            <w:hideMark/>
          </w:tcPr>
          <w:p w14:paraId="50E8A67A"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-18.4352</w:t>
            </w:r>
          </w:p>
        </w:tc>
        <w:tc>
          <w:tcPr>
            <w:tcW w:w="1273" w:type="dxa"/>
            <w:tcBorders>
              <w:top w:val="nil"/>
              <w:left w:val="nil"/>
              <w:bottom w:val="nil"/>
              <w:right w:val="nil"/>
            </w:tcBorders>
            <w:shd w:val="clear" w:color="auto" w:fill="auto"/>
            <w:noWrap/>
            <w:vAlign w:val="bottom"/>
            <w:hideMark/>
          </w:tcPr>
          <w:p w14:paraId="0847696B"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-19.4800</w:t>
            </w:r>
          </w:p>
        </w:tc>
        <w:tc>
          <w:tcPr>
            <w:tcW w:w="1273" w:type="dxa"/>
            <w:tcBorders>
              <w:top w:val="nil"/>
              <w:left w:val="nil"/>
              <w:bottom w:val="nil"/>
              <w:right w:val="nil"/>
            </w:tcBorders>
            <w:shd w:val="clear" w:color="auto" w:fill="auto"/>
            <w:noWrap/>
            <w:vAlign w:val="bottom"/>
            <w:hideMark/>
          </w:tcPr>
          <w:p w14:paraId="36A3F235"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-7.7737</w:t>
            </w:r>
          </w:p>
        </w:tc>
      </w:tr>
      <w:tr w:rsidR="008A7DD9" w:rsidRPr="00BB7773" w14:paraId="4E331C68" w14:textId="77777777" w:rsidTr="008A7DD9">
        <w:trPr>
          <w:trHeight w:val="300"/>
        </w:trPr>
        <w:tc>
          <w:tcPr>
            <w:tcW w:w="2250" w:type="dxa"/>
            <w:tcBorders>
              <w:top w:val="nil"/>
              <w:left w:val="nil"/>
              <w:bottom w:val="nil"/>
              <w:right w:val="nil"/>
            </w:tcBorders>
            <w:shd w:val="clear" w:color="auto" w:fill="auto"/>
            <w:noWrap/>
            <w:vAlign w:val="center"/>
            <w:hideMark/>
          </w:tcPr>
          <w:p w14:paraId="04294228" w14:textId="77777777" w:rsidR="008A7DD9" w:rsidRPr="00BB7773" w:rsidRDefault="008A7DD9" w:rsidP="00454173">
            <w:pPr>
              <w:rPr>
                <w:rFonts w:ascii="Calibri" w:hAnsi="Calibri" w:cs="Calibri"/>
                <w:color w:val="000000"/>
                <w:sz w:val="20"/>
                <w:szCs w:val="20"/>
              </w:rPr>
            </w:pPr>
            <w:r w:rsidRPr="00BB7773">
              <w:rPr>
                <w:rFonts w:ascii="Calibri" w:hAnsi="Calibri" w:cs="Calibri"/>
                <w:color w:val="000000"/>
                <w:sz w:val="20"/>
                <w:szCs w:val="20"/>
              </w:rPr>
              <w:t>Population</w:t>
            </w:r>
          </w:p>
        </w:tc>
        <w:tc>
          <w:tcPr>
            <w:tcW w:w="1273" w:type="dxa"/>
            <w:tcBorders>
              <w:top w:val="nil"/>
              <w:left w:val="nil"/>
              <w:bottom w:val="nil"/>
              <w:right w:val="nil"/>
            </w:tcBorders>
            <w:shd w:val="clear" w:color="auto" w:fill="auto"/>
            <w:noWrap/>
            <w:vAlign w:val="bottom"/>
            <w:hideMark/>
          </w:tcPr>
          <w:p w14:paraId="3DDBA7F6" w14:textId="77777777" w:rsidR="008A7DD9" w:rsidRPr="00BB7773" w:rsidRDefault="008A7DD9" w:rsidP="00454173">
            <w:pPr>
              <w:rPr>
                <w:rFonts w:ascii="Calibri" w:hAnsi="Calibri" w:cs="Calibri"/>
                <w:color w:val="000000"/>
                <w:sz w:val="20"/>
                <w:szCs w:val="20"/>
              </w:rPr>
            </w:pPr>
          </w:p>
        </w:tc>
        <w:tc>
          <w:tcPr>
            <w:tcW w:w="1273" w:type="dxa"/>
            <w:tcBorders>
              <w:top w:val="nil"/>
              <w:left w:val="nil"/>
              <w:bottom w:val="nil"/>
              <w:right w:val="nil"/>
            </w:tcBorders>
            <w:shd w:val="clear" w:color="auto" w:fill="auto"/>
            <w:noWrap/>
            <w:vAlign w:val="bottom"/>
            <w:hideMark/>
          </w:tcPr>
          <w:p w14:paraId="2EC76162"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0.8847***</w:t>
            </w:r>
          </w:p>
        </w:tc>
        <w:tc>
          <w:tcPr>
            <w:tcW w:w="1273" w:type="dxa"/>
            <w:tcBorders>
              <w:top w:val="nil"/>
              <w:left w:val="nil"/>
              <w:bottom w:val="nil"/>
              <w:right w:val="nil"/>
            </w:tcBorders>
            <w:shd w:val="clear" w:color="auto" w:fill="auto"/>
            <w:noWrap/>
            <w:vAlign w:val="bottom"/>
            <w:hideMark/>
          </w:tcPr>
          <w:p w14:paraId="31EFBE59"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0.8873***</w:t>
            </w:r>
          </w:p>
        </w:tc>
        <w:tc>
          <w:tcPr>
            <w:tcW w:w="1273" w:type="dxa"/>
            <w:tcBorders>
              <w:top w:val="nil"/>
              <w:left w:val="nil"/>
              <w:bottom w:val="nil"/>
              <w:right w:val="nil"/>
            </w:tcBorders>
            <w:shd w:val="clear" w:color="auto" w:fill="auto"/>
            <w:noWrap/>
            <w:vAlign w:val="bottom"/>
            <w:hideMark/>
          </w:tcPr>
          <w:p w14:paraId="55663CB0"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0.9393***</w:t>
            </w:r>
          </w:p>
        </w:tc>
      </w:tr>
      <w:tr w:rsidR="008A7DD9" w:rsidRPr="00BB7773" w14:paraId="0A5DF754" w14:textId="77777777" w:rsidTr="008A7DD9">
        <w:trPr>
          <w:trHeight w:val="300"/>
        </w:trPr>
        <w:tc>
          <w:tcPr>
            <w:tcW w:w="2250" w:type="dxa"/>
            <w:tcBorders>
              <w:top w:val="nil"/>
              <w:left w:val="nil"/>
              <w:bottom w:val="nil"/>
              <w:right w:val="nil"/>
            </w:tcBorders>
            <w:shd w:val="clear" w:color="auto" w:fill="auto"/>
            <w:noWrap/>
            <w:vAlign w:val="bottom"/>
            <w:hideMark/>
          </w:tcPr>
          <w:p w14:paraId="19D58DE9" w14:textId="77777777" w:rsidR="008A7DD9" w:rsidRPr="00BB7773" w:rsidRDefault="008A7DD9" w:rsidP="00454173">
            <w:pPr>
              <w:ind w:firstLineChars="100" w:firstLine="200"/>
              <w:jc w:val="right"/>
              <w:rPr>
                <w:rFonts w:ascii="Calibri" w:hAnsi="Calibri" w:cs="Calibri"/>
                <w:color w:val="000000"/>
                <w:sz w:val="20"/>
                <w:szCs w:val="20"/>
              </w:rPr>
            </w:pPr>
          </w:p>
        </w:tc>
        <w:tc>
          <w:tcPr>
            <w:tcW w:w="1273" w:type="dxa"/>
            <w:tcBorders>
              <w:top w:val="nil"/>
              <w:left w:val="nil"/>
              <w:bottom w:val="nil"/>
              <w:right w:val="nil"/>
            </w:tcBorders>
            <w:shd w:val="clear" w:color="auto" w:fill="auto"/>
            <w:noWrap/>
            <w:vAlign w:val="bottom"/>
            <w:hideMark/>
          </w:tcPr>
          <w:p w14:paraId="30B1EC1A" w14:textId="77777777" w:rsidR="008A7DD9" w:rsidRPr="00BB7773" w:rsidRDefault="008A7DD9" w:rsidP="00454173">
            <w:pPr>
              <w:rPr>
                <w:sz w:val="20"/>
                <w:szCs w:val="20"/>
              </w:rPr>
            </w:pPr>
          </w:p>
        </w:tc>
        <w:tc>
          <w:tcPr>
            <w:tcW w:w="1273" w:type="dxa"/>
            <w:tcBorders>
              <w:top w:val="nil"/>
              <w:left w:val="nil"/>
              <w:bottom w:val="nil"/>
              <w:right w:val="nil"/>
            </w:tcBorders>
            <w:shd w:val="clear" w:color="auto" w:fill="auto"/>
            <w:noWrap/>
            <w:vAlign w:val="bottom"/>
            <w:hideMark/>
          </w:tcPr>
          <w:p w14:paraId="34BB6DB9"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(0.072)</w:t>
            </w:r>
          </w:p>
        </w:tc>
        <w:tc>
          <w:tcPr>
            <w:tcW w:w="1273" w:type="dxa"/>
            <w:tcBorders>
              <w:top w:val="nil"/>
              <w:left w:val="nil"/>
              <w:bottom w:val="nil"/>
              <w:right w:val="nil"/>
            </w:tcBorders>
            <w:shd w:val="clear" w:color="auto" w:fill="auto"/>
            <w:noWrap/>
            <w:vAlign w:val="bottom"/>
            <w:hideMark/>
          </w:tcPr>
          <w:p w14:paraId="156D289A"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(0.073)</w:t>
            </w:r>
          </w:p>
        </w:tc>
        <w:tc>
          <w:tcPr>
            <w:tcW w:w="1273" w:type="dxa"/>
            <w:tcBorders>
              <w:top w:val="nil"/>
              <w:left w:val="nil"/>
              <w:bottom w:val="nil"/>
              <w:right w:val="nil"/>
            </w:tcBorders>
            <w:shd w:val="clear" w:color="auto" w:fill="auto"/>
            <w:noWrap/>
            <w:vAlign w:val="bottom"/>
            <w:hideMark/>
          </w:tcPr>
          <w:p w14:paraId="17BB5FFC"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(0.052)</w:t>
            </w:r>
          </w:p>
        </w:tc>
      </w:tr>
      <w:tr w:rsidR="008A7DD9" w:rsidRPr="00BB7773" w14:paraId="6BCAC591" w14:textId="77777777" w:rsidTr="008A7DD9">
        <w:trPr>
          <w:trHeight w:val="300"/>
        </w:trPr>
        <w:tc>
          <w:tcPr>
            <w:tcW w:w="2250" w:type="dxa"/>
            <w:tcBorders>
              <w:top w:val="nil"/>
              <w:left w:val="nil"/>
              <w:bottom w:val="nil"/>
              <w:right w:val="nil"/>
            </w:tcBorders>
            <w:shd w:val="clear" w:color="auto" w:fill="auto"/>
            <w:noWrap/>
            <w:vAlign w:val="center"/>
            <w:hideMark/>
          </w:tcPr>
          <w:p w14:paraId="51E60E82" w14:textId="77777777" w:rsidR="008A7DD9" w:rsidRPr="00BB7773" w:rsidRDefault="008A7DD9" w:rsidP="00454173">
            <w:pPr>
              <w:rPr>
                <w:rFonts w:ascii="Calibri" w:hAnsi="Calibri" w:cs="Calibri"/>
                <w:color w:val="000000"/>
                <w:sz w:val="20"/>
                <w:szCs w:val="20"/>
              </w:rPr>
            </w:pPr>
            <w:r w:rsidRPr="00BB7773">
              <w:rPr>
                <w:rFonts w:ascii="Calibri" w:hAnsi="Calibri" w:cs="Calibri"/>
                <w:color w:val="000000"/>
                <w:sz w:val="20"/>
              </w:rPr>
              <w:t>Density</w:t>
            </w:r>
          </w:p>
        </w:tc>
        <w:tc>
          <w:tcPr>
            <w:tcW w:w="1273" w:type="dxa"/>
            <w:tcBorders>
              <w:top w:val="nil"/>
              <w:left w:val="nil"/>
              <w:bottom w:val="nil"/>
              <w:right w:val="nil"/>
            </w:tcBorders>
            <w:shd w:val="clear" w:color="auto" w:fill="auto"/>
            <w:noWrap/>
            <w:vAlign w:val="bottom"/>
            <w:hideMark/>
          </w:tcPr>
          <w:p w14:paraId="01C76586"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0.5883***</w:t>
            </w:r>
          </w:p>
        </w:tc>
        <w:tc>
          <w:tcPr>
            <w:tcW w:w="1273" w:type="dxa"/>
            <w:tcBorders>
              <w:top w:val="nil"/>
              <w:left w:val="nil"/>
              <w:bottom w:val="nil"/>
              <w:right w:val="nil"/>
            </w:tcBorders>
            <w:shd w:val="clear" w:color="auto" w:fill="auto"/>
            <w:noWrap/>
            <w:vAlign w:val="bottom"/>
            <w:hideMark/>
          </w:tcPr>
          <w:p w14:paraId="598E866B"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0.2580**</w:t>
            </w:r>
          </w:p>
        </w:tc>
        <w:tc>
          <w:tcPr>
            <w:tcW w:w="1273" w:type="dxa"/>
            <w:tcBorders>
              <w:top w:val="nil"/>
              <w:left w:val="nil"/>
              <w:bottom w:val="nil"/>
              <w:right w:val="nil"/>
            </w:tcBorders>
            <w:shd w:val="clear" w:color="auto" w:fill="auto"/>
            <w:noWrap/>
            <w:vAlign w:val="bottom"/>
            <w:hideMark/>
          </w:tcPr>
          <w:p w14:paraId="4BC78E50"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0.2082**</w:t>
            </w:r>
          </w:p>
        </w:tc>
        <w:tc>
          <w:tcPr>
            <w:tcW w:w="1273" w:type="dxa"/>
            <w:tcBorders>
              <w:top w:val="nil"/>
              <w:left w:val="nil"/>
              <w:bottom w:val="nil"/>
              <w:right w:val="nil"/>
            </w:tcBorders>
            <w:shd w:val="clear" w:color="auto" w:fill="auto"/>
            <w:noWrap/>
            <w:vAlign w:val="bottom"/>
            <w:hideMark/>
          </w:tcPr>
          <w:p w14:paraId="41AB82EE"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0.2026**</w:t>
            </w:r>
          </w:p>
        </w:tc>
      </w:tr>
      <w:tr w:rsidR="008A7DD9" w:rsidRPr="00BB7773" w14:paraId="2D49A7E6" w14:textId="77777777" w:rsidTr="008A7DD9">
        <w:trPr>
          <w:trHeight w:val="300"/>
        </w:trPr>
        <w:tc>
          <w:tcPr>
            <w:tcW w:w="2250" w:type="dxa"/>
            <w:tcBorders>
              <w:top w:val="nil"/>
              <w:left w:val="nil"/>
              <w:bottom w:val="nil"/>
              <w:right w:val="nil"/>
            </w:tcBorders>
            <w:shd w:val="clear" w:color="auto" w:fill="auto"/>
            <w:noWrap/>
            <w:vAlign w:val="bottom"/>
            <w:hideMark/>
          </w:tcPr>
          <w:p w14:paraId="5D0A3519" w14:textId="77777777" w:rsidR="008A7DD9" w:rsidRPr="00BB7773" w:rsidRDefault="008A7DD9" w:rsidP="00454173">
            <w:pPr>
              <w:ind w:firstLineChars="100" w:firstLine="200"/>
              <w:jc w:val="right"/>
              <w:rPr>
                <w:rFonts w:ascii="Calibri" w:hAnsi="Calibri" w:cs="Calibri"/>
                <w:color w:val="000000"/>
                <w:sz w:val="20"/>
                <w:szCs w:val="20"/>
              </w:rPr>
            </w:pPr>
          </w:p>
        </w:tc>
        <w:tc>
          <w:tcPr>
            <w:tcW w:w="1273" w:type="dxa"/>
            <w:tcBorders>
              <w:top w:val="nil"/>
              <w:left w:val="nil"/>
              <w:bottom w:val="nil"/>
              <w:right w:val="nil"/>
            </w:tcBorders>
            <w:shd w:val="clear" w:color="auto" w:fill="auto"/>
            <w:noWrap/>
            <w:vAlign w:val="bottom"/>
            <w:hideMark/>
          </w:tcPr>
          <w:p w14:paraId="6BA3EFCC"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(0.096)</w:t>
            </w:r>
          </w:p>
        </w:tc>
        <w:tc>
          <w:tcPr>
            <w:tcW w:w="1273" w:type="dxa"/>
            <w:tcBorders>
              <w:top w:val="nil"/>
              <w:left w:val="nil"/>
              <w:bottom w:val="nil"/>
              <w:right w:val="nil"/>
            </w:tcBorders>
            <w:shd w:val="clear" w:color="auto" w:fill="auto"/>
            <w:noWrap/>
            <w:vAlign w:val="bottom"/>
            <w:hideMark/>
          </w:tcPr>
          <w:p w14:paraId="0B335EA6"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(0.109)</w:t>
            </w:r>
          </w:p>
        </w:tc>
        <w:tc>
          <w:tcPr>
            <w:tcW w:w="1273" w:type="dxa"/>
            <w:tcBorders>
              <w:top w:val="nil"/>
              <w:left w:val="nil"/>
              <w:bottom w:val="nil"/>
              <w:right w:val="nil"/>
            </w:tcBorders>
            <w:shd w:val="clear" w:color="auto" w:fill="auto"/>
            <w:noWrap/>
            <w:vAlign w:val="bottom"/>
            <w:hideMark/>
          </w:tcPr>
          <w:p w14:paraId="4CC2AB65"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(0.084)</w:t>
            </w:r>
          </w:p>
        </w:tc>
        <w:tc>
          <w:tcPr>
            <w:tcW w:w="1273" w:type="dxa"/>
            <w:tcBorders>
              <w:top w:val="nil"/>
              <w:left w:val="nil"/>
              <w:bottom w:val="nil"/>
              <w:right w:val="nil"/>
            </w:tcBorders>
            <w:shd w:val="clear" w:color="auto" w:fill="auto"/>
            <w:noWrap/>
            <w:vAlign w:val="bottom"/>
            <w:hideMark/>
          </w:tcPr>
          <w:p w14:paraId="63361828"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(0.089)</w:t>
            </w:r>
          </w:p>
        </w:tc>
      </w:tr>
      <w:tr w:rsidR="008A7DD9" w:rsidRPr="00BB7773" w14:paraId="0D6A524E" w14:textId="77777777" w:rsidTr="008A7DD9">
        <w:trPr>
          <w:trHeight w:val="300"/>
        </w:trPr>
        <w:tc>
          <w:tcPr>
            <w:tcW w:w="2250" w:type="dxa"/>
            <w:tcBorders>
              <w:top w:val="nil"/>
              <w:left w:val="nil"/>
              <w:bottom w:val="nil"/>
              <w:right w:val="nil"/>
            </w:tcBorders>
            <w:shd w:val="clear" w:color="auto" w:fill="auto"/>
            <w:noWrap/>
            <w:vAlign w:val="center"/>
            <w:hideMark/>
          </w:tcPr>
          <w:p w14:paraId="7DBAF592" w14:textId="77777777" w:rsidR="008A7DD9" w:rsidRPr="00BB7773" w:rsidRDefault="008A7DD9" w:rsidP="00454173">
            <w:pPr>
              <w:rPr>
                <w:rFonts w:ascii="Calibri" w:hAnsi="Calibri" w:cs="Calibri"/>
                <w:color w:val="000000"/>
                <w:sz w:val="20"/>
                <w:szCs w:val="20"/>
              </w:rPr>
            </w:pPr>
            <w:r w:rsidRPr="00BB7773">
              <w:rPr>
                <w:rFonts w:ascii="Calibri" w:hAnsi="Calibri" w:cs="Calibri"/>
                <w:color w:val="000000"/>
                <w:sz w:val="20"/>
              </w:rPr>
              <w:t>Per Capital Income</w:t>
            </w:r>
          </w:p>
        </w:tc>
        <w:tc>
          <w:tcPr>
            <w:tcW w:w="1273" w:type="dxa"/>
            <w:tcBorders>
              <w:top w:val="nil"/>
              <w:left w:val="nil"/>
              <w:bottom w:val="nil"/>
              <w:right w:val="nil"/>
            </w:tcBorders>
            <w:shd w:val="clear" w:color="auto" w:fill="auto"/>
            <w:noWrap/>
            <w:vAlign w:val="bottom"/>
            <w:hideMark/>
          </w:tcPr>
          <w:p w14:paraId="086BEC23"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0.5685**</w:t>
            </w:r>
          </w:p>
        </w:tc>
        <w:tc>
          <w:tcPr>
            <w:tcW w:w="1273" w:type="dxa"/>
            <w:tcBorders>
              <w:top w:val="nil"/>
              <w:left w:val="nil"/>
              <w:bottom w:val="nil"/>
              <w:right w:val="nil"/>
            </w:tcBorders>
            <w:shd w:val="clear" w:color="auto" w:fill="auto"/>
            <w:noWrap/>
            <w:vAlign w:val="bottom"/>
            <w:hideMark/>
          </w:tcPr>
          <w:p w14:paraId="2F4EA533"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0.7197***</w:t>
            </w:r>
          </w:p>
        </w:tc>
        <w:tc>
          <w:tcPr>
            <w:tcW w:w="1273" w:type="dxa"/>
            <w:tcBorders>
              <w:top w:val="nil"/>
              <w:left w:val="nil"/>
              <w:bottom w:val="nil"/>
              <w:right w:val="nil"/>
            </w:tcBorders>
            <w:shd w:val="clear" w:color="auto" w:fill="auto"/>
            <w:noWrap/>
            <w:vAlign w:val="bottom"/>
            <w:hideMark/>
          </w:tcPr>
          <w:p w14:paraId="77246EFD"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0.8437***</w:t>
            </w:r>
          </w:p>
        </w:tc>
        <w:tc>
          <w:tcPr>
            <w:tcW w:w="1273" w:type="dxa"/>
            <w:tcBorders>
              <w:top w:val="nil"/>
              <w:left w:val="nil"/>
              <w:bottom w:val="nil"/>
              <w:right w:val="nil"/>
            </w:tcBorders>
            <w:shd w:val="clear" w:color="auto" w:fill="auto"/>
            <w:noWrap/>
            <w:vAlign w:val="bottom"/>
            <w:hideMark/>
          </w:tcPr>
          <w:p w14:paraId="4BC2DB77"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-0.187997</w:t>
            </w:r>
          </w:p>
        </w:tc>
      </w:tr>
      <w:tr w:rsidR="008A7DD9" w:rsidRPr="00BB7773" w14:paraId="34DE61B5" w14:textId="77777777" w:rsidTr="008A7DD9">
        <w:trPr>
          <w:trHeight w:val="300"/>
        </w:trPr>
        <w:tc>
          <w:tcPr>
            <w:tcW w:w="2250" w:type="dxa"/>
            <w:tcBorders>
              <w:top w:val="nil"/>
              <w:left w:val="nil"/>
              <w:bottom w:val="nil"/>
              <w:right w:val="nil"/>
            </w:tcBorders>
            <w:shd w:val="clear" w:color="auto" w:fill="auto"/>
            <w:noWrap/>
            <w:vAlign w:val="bottom"/>
            <w:hideMark/>
          </w:tcPr>
          <w:p w14:paraId="42E4274B" w14:textId="77777777" w:rsidR="008A7DD9" w:rsidRPr="00BB7773" w:rsidRDefault="008A7DD9" w:rsidP="00454173">
            <w:pPr>
              <w:ind w:firstLineChars="100" w:firstLine="200"/>
              <w:jc w:val="right"/>
              <w:rPr>
                <w:rFonts w:ascii="Calibri" w:hAnsi="Calibri" w:cs="Calibri"/>
                <w:color w:val="000000"/>
                <w:sz w:val="20"/>
                <w:szCs w:val="20"/>
              </w:rPr>
            </w:pPr>
          </w:p>
        </w:tc>
        <w:tc>
          <w:tcPr>
            <w:tcW w:w="1273" w:type="dxa"/>
            <w:tcBorders>
              <w:top w:val="nil"/>
              <w:left w:val="nil"/>
              <w:bottom w:val="nil"/>
              <w:right w:val="nil"/>
            </w:tcBorders>
            <w:shd w:val="clear" w:color="auto" w:fill="auto"/>
            <w:noWrap/>
            <w:vAlign w:val="bottom"/>
            <w:hideMark/>
          </w:tcPr>
          <w:p w14:paraId="45C4417C"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(0.264)</w:t>
            </w:r>
          </w:p>
        </w:tc>
        <w:tc>
          <w:tcPr>
            <w:tcW w:w="1273" w:type="dxa"/>
            <w:tcBorders>
              <w:top w:val="nil"/>
              <w:left w:val="nil"/>
              <w:bottom w:val="nil"/>
              <w:right w:val="nil"/>
            </w:tcBorders>
            <w:shd w:val="clear" w:color="auto" w:fill="auto"/>
            <w:noWrap/>
            <w:vAlign w:val="bottom"/>
            <w:hideMark/>
          </w:tcPr>
          <w:p w14:paraId="151118B4"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(0.212)</w:t>
            </w:r>
          </w:p>
        </w:tc>
        <w:tc>
          <w:tcPr>
            <w:tcW w:w="1273" w:type="dxa"/>
            <w:tcBorders>
              <w:top w:val="nil"/>
              <w:left w:val="nil"/>
              <w:bottom w:val="nil"/>
              <w:right w:val="nil"/>
            </w:tcBorders>
            <w:shd w:val="clear" w:color="auto" w:fill="auto"/>
            <w:noWrap/>
            <w:vAlign w:val="bottom"/>
            <w:hideMark/>
          </w:tcPr>
          <w:p w14:paraId="4BED5F06"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(0.268)</w:t>
            </w:r>
          </w:p>
        </w:tc>
        <w:tc>
          <w:tcPr>
            <w:tcW w:w="1273" w:type="dxa"/>
            <w:tcBorders>
              <w:top w:val="nil"/>
              <w:left w:val="nil"/>
              <w:bottom w:val="nil"/>
              <w:right w:val="nil"/>
            </w:tcBorders>
            <w:shd w:val="clear" w:color="auto" w:fill="auto"/>
            <w:noWrap/>
            <w:vAlign w:val="bottom"/>
            <w:hideMark/>
          </w:tcPr>
          <w:p w14:paraId="6C633468"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(0.145)</w:t>
            </w:r>
          </w:p>
        </w:tc>
      </w:tr>
      <w:tr w:rsidR="008A7DD9" w:rsidRPr="00BB7773" w14:paraId="38FF2C9C" w14:textId="77777777" w:rsidTr="008A7DD9">
        <w:trPr>
          <w:trHeight w:val="300"/>
        </w:trPr>
        <w:tc>
          <w:tcPr>
            <w:tcW w:w="2250" w:type="dxa"/>
            <w:tcBorders>
              <w:top w:val="nil"/>
              <w:left w:val="nil"/>
              <w:bottom w:val="nil"/>
              <w:right w:val="nil"/>
            </w:tcBorders>
            <w:shd w:val="clear" w:color="auto" w:fill="auto"/>
            <w:noWrap/>
            <w:vAlign w:val="center"/>
            <w:hideMark/>
          </w:tcPr>
          <w:p w14:paraId="52573432" w14:textId="77777777" w:rsidR="008A7DD9" w:rsidRPr="00BB7773" w:rsidRDefault="008A7DD9" w:rsidP="00454173">
            <w:pPr>
              <w:rPr>
                <w:rFonts w:ascii="Calibri" w:hAnsi="Calibri" w:cs="Calibri"/>
                <w:color w:val="000000"/>
                <w:sz w:val="20"/>
                <w:szCs w:val="20"/>
              </w:rPr>
            </w:pPr>
            <w:r w:rsidRPr="00BB7773">
              <w:rPr>
                <w:rFonts w:ascii="Calibri" w:hAnsi="Calibri" w:cs="Calibri"/>
                <w:color w:val="000000"/>
                <w:sz w:val="20"/>
              </w:rPr>
              <w:t>Days</w:t>
            </w:r>
          </w:p>
        </w:tc>
        <w:tc>
          <w:tcPr>
            <w:tcW w:w="1273" w:type="dxa"/>
            <w:tcBorders>
              <w:top w:val="nil"/>
              <w:left w:val="nil"/>
              <w:bottom w:val="nil"/>
              <w:right w:val="nil"/>
            </w:tcBorders>
            <w:shd w:val="clear" w:color="auto" w:fill="auto"/>
            <w:noWrap/>
            <w:vAlign w:val="bottom"/>
            <w:hideMark/>
          </w:tcPr>
          <w:p w14:paraId="767A3B07"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1.7185***</w:t>
            </w:r>
          </w:p>
        </w:tc>
        <w:tc>
          <w:tcPr>
            <w:tcW w:w="1273" w:type="dxa"/>
            <w:tcBorders>
              <w:top w:val="nil"/>
              <w:left w:val="nil"/>
              <w:bottom w:val="nil"/>
              <w:right w:val="nil"/>
            </w:tcBorders>
            <w:shd w:val="clear" w:color="auto" w:fill="auto"/>
            <w:noWrap/>
            <w:vAlign w:val="bottom"/>
            <w:hideMark/>
          </w:tcPr>
          <w:p w14:paraId="4A3765B7"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1.0159***</w:t>
            </w:r>
          </w:p>
        </w:tc>
        <w:tc>
          <w:tcPr>
            <w:tcW w:w="1273" w:type="dxa"/>
            <w:tcBorders>
              <w:top w:val="nil"/>
              <w:left w:val="nil"/>
              <w:bottom w:val="nil"/>
              <w:right w:val="nil"/>
            </w:tcBorders>
            <w:shd w:val="clear" w:color="auto" w:fill="auto"/>
            <w:noWrap/>
            <w:vAlign w:val="bottom"/>
            <w:hideMark/>
          </w:tcPr>
          <w:p w14:paraId="4A460628"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1.0137**</w:t>
            </w:r>
          </w:p>
        </w:tc>
        <w:tc>
          <w:tcPr>
            <w:tcW w:w="1273" w:type="dxa"/>
            <w:tcBorders>
              <w:top w:val="nil"/>
              <w:left w:val="nil"/>
              <w:bottom w:val="nil"/>
              <w:right w:val="nil"/>
            </w:tcBorders>
            <w:shd w:val="clear" w:color="auto" w:fill="auto"/>
            <w:noWrap/>
            <w:vAlign w:val="bottom"/>
            <w:hideMark/>
          </w:tcPr>
          <w:p w14:paraId="7B66FCDA"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0.8216***</w:t>
            </w:r>
          </w:p>
        </w:tc>
      </w:tr>
      <w:tr w:rsidR="008A7DD9" w:rsidRPr="00BB7773" w14:paraId="367A7DDF" w14:textId="77777777" w:rsidTr="008A7DD9">
        <w:trPr>
          <w:trHeight w:val="300"/>
        </w:trPr>
        <w:tc>
          <w:tcPr>
            <w:tcW w:w="2250" w:type="dxa"/>
            <w:tcBorders>
              <w:top w:val="nil"/>
              <w:left w:val="nil"/>
              <w:bottom w:val="nil"/>
              <w:right w:val="nil"/>
            </w:tcBorders>
            <w:shd w:val="clear" w:color="auto" w:fill="auto"/>
            <w:noWrap/>
            <w:vAlign w:val="bottom"/>
            <w:hideMark/>
          </w:tcPr>
          <w:p w14:paraId="305F286D" w14:textId="77777777" w:rsidR="008A7DD9" w:rsidRPr="00BB7773" w:rsidRDefault="008A7DD9" w:rsidP="00454173">
            <w:pPr>
              <w:ind w:firstLineChars="100" w:firstLine="200"/>
              <w:jc w:val="right"/>
              <w:rPr>
                <w:rFonts w:ascii="Calibri" w:hAnsi="Calibri" w:cs="Calibri"/>
                <w:color w:val="000000"/>
                <w:sz w:val="20"/>
                <w:szCs w:val="20"/>
              </w:rPr>
            </w:pPr>
          </w:p>
        </w:tc>
        <w:tc>
          <w:tcPr>
            <w:tcW w:w="1273" w:type="dxa"/>
            <w:tcBorders>
              <w:top w:val="nil"/>
              <w:left w:val="nil"/>
              <w:bottom w:val="nil"/>
              <w:right w:val="nil"/>
            </w:tcBorders>
            <w:shd w:val="clear" w:color="auto" w:fill="auto"/>
            <w:noWrap/>
            <w:vAlign w:val="bottom"/>
            <w:hideMark/>
          </w:tcPr>
          <w:p w14:paraId="4D9EA993"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(0.110)</w:t>
            </w:r>
          </w:p>
        </w:tc>
        <w:tc>
          <w:tcPr>
            <w:tcW w:w="1273" w:type="dxa"/>
            <w:tcBorders>
              <w:top w:val="nil"/>
              <w:left w:val="nil"/>
              <w:bottom w:val="nil"/>
              <w:right w:val="nil"/>
            </w:tcBorders>
            <w:shd w:val="clear" w:color="auto" w:fill="auto"/>
            <w:noWrap/>
            <w:vAlign w:val="bottom"/>
            <w:hideMark/>
          </w:tcPr>
          <w:p w14:paraId="5ADC4D49"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(0.101)</w:t>
            </w:r>
          </w:p>
        </w:tc>
        <w:tc>
          <w:tcPr>
            <w:tcW w:w="1273" w:type="dxa"/>
            <w:tcBorders>
              <w:top w:val="nil"/>
              <w:left w:val="nil"/>
              <w:bottom w:val="nil"/>
              <w:right w:val="nil"/>
            </w:tcBorders>
            <w:shd w:val="clear" w:color="auto" w:fill="auto"/>
            <w:noWrap/>
            <w:vAlign w:val="bottom"/>
            <w:hideMark/>
          </w:tcPr>
          <w:p w14:paraId="508DBE0A"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(0.099)</w:t>
            </w:r>
          </w:p>
        </w:tc>
        <w:tc>
          <w:tcPr>
            <w:tcW w:w="1273" w:type="dxa"/>
            <w:tcBorders>
              <w:top w:val="nil"/>
              <w:left w:val="nil"/>
              <w:bottom w:val="nil"/>
              <w:right w:val="nil"/>
            </w:tcBorders>
            <w:shd w:val="clear" w:color="auto" w:fill="auto"/>
            <w:noWrap/>
            <w:vAlign w:val="bottom"/>
            <w:hideMark/>
          </w:tcPr>
          <w:p w14:paraId="68C05B46"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(0.086)</w:t>
            </w:r>
          </w:p>
        </w:tc>
      </w:tr>
      <w:tr w:rsidR="008A7DD9" w:rsidRPr="00BB7773" w14:paraId="014085A4" w14:textId="77777777" w:rsidTr="008A7DD9">
        <w:trPr>
          <w:trHeight w:val="300"/>
        </w:trPr>
        <w:tc>
          <w:tcPr>
            <w:tcW w:w="2250" w:type="dxa"/>
            <w:tcBorders>
              <w:top w:val="nil"/>
              <w:left w:val="nil"/>
              <w:bottom w:val="nil"/>
              <w:right w:val="nil"/>
            </w:tcBorders>
            <w:shd w:val="clear" w:color="auto" w:fill="auto"/>
            <w:noWrap/>
            <w:vAlign w:val="center"/>
            <w:hideMark/>
          </w:tcPr>
          <w:p w14:paraId="143BAE01" w14:textId="77777777" w:rsidR="008A7DD9" w:rsidRPr="00BB7773" w:rsidRDefault="008A7DD9" w:rsidP="00454173">
            <w:pPr>
              <w:rPr>
                <w:rFonts w:ascii="Calibri" w:hAnsi="Calibri" w:cs="Calibri"/>
                <w:color w:val="000000"/>
                <w:sz w:val="20"/>
                <w:szCs w:val="20"/>
              </w:rPr>
            </w:pPr>
            <w:r w:rsidRPr="00BB7773">
              <w:rPr>
                <w:rFonts w:ascii="Calibri" w:hAnsi="Calibri" w:cs="Calibri"/>
                <w:color w:val="000000"/>
                <w:sz w:val="20"/>
              </w:rPr>
              <w:t>Household Size</w:t>
            </w:r>
          </w:p>
        </w:tc>
        <w:tc>
          <w:tcPr>
            <w:tcW w:w="1273" w:type="dxa"/>
            <w:tcBorders>
              <w:top w:val="nil"/>
              <w:left w:val="nil"/>
              <w:bottom w:val="nil"/>
              <w:right w:val="nil"/>
            </w:tcBorders>
            <w:shd w:val="clear" w:color="auto" w:fill="auto"/>
            <w:noWrap/>
            <w:vAlign w:val="bottom"/>
            <w:hideMark/>
          </w:tcPr>
          <w:p w14:paraId="508F159C"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0.8573</w:t>
            </w:r>
          </w:p>
        </w:tc>
        <w:tc>
          <w:tcPr>
            <w:tcW w:w="1273" w:type="dxa"/>
            <w:tcBorders>
              <w:top w:val="nil"/>
              <w:left w:val="nil"/>
              <w:bottom w:val="nil"/>
              <w:right w:val="nil"/>
            </w:tcBorders>
            <w:shd w:val="clear" w:color="auto" w:fill="auto"/>
            <w:noWrap/>
            <w:vAlign w:val="bottom"/>
            <w:hideMark/>
          </w:tcPr>
          <w:p w14:paraId="1C3CD2D2"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-0.0573</w:t>
            </w:r>
          </w:p>
        </w:tc>
        <w:tc>
          <w:tcPr>
            <w:tcW w:w="1273" w:type="dxa"/>
            <w:tcBorders>
              <w:top w:val="nil"/>
              <w:left w:val="nil"/>
              <w:bottom w:val="nil"/>
              <w:right w:val="nil"/>
            </w:tcBorders>
            <w:shd w:val="clear" w:color="auto" w:fill="auto"/>
            <w:noWrap/>
            <w:vAlign w:val="bottom"/>
            <w:hideMark/>
          </w:tcPr>
          <w:p w14:paraId="64709143"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-0.0663</w:t>
            </w:r>
          </w:p>
        </w:tc>
        <w:tc>
          <w:tcPr>
            <w:tcW w:w="1273" w:type="dxa"/>
            <w:tcBorders>
              <w:top w:val="nil"/>
              <w:left w:val="nil"/>
              <w:bottom w:val="nil"/>
              <w:right w:val="nil"/>
            </w:tcBorders>
            <w:shd w:val="clear" w:color="auto" w:fill="auto"/>
            <w:noWrap/>
            <w:vAlign w:val="bottom"/>
            <w:hideMark/>
          </w:tcPr>
          <w:p w14:paraId="4D81A269"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0.5520</w:t>
            </w:r>
          </w:p>
        </w:tc>
      </w:tr>
      <w:tr w:rsidR="008A7DD9" w:rsidRPr="00BB7773" w14:paraId="07D8F091" w14:textId="77777777" w:rsidTr="008A7DD9">
        <w:trPr>
          <w:trHeight w:val="300"/>
        </w:trPr>
        <w:tc>
          <w:tcPr>
            <w:tcW w:w="2250" w:type="dxa"/>
            <w:tcBorders>
              <w:top w:val="nil"/>
              <w:left w:val="nil"/>
              <w:bottom w:val="nil"/>
              <w:right w:val="nil"/>
            </w:tcBorders>
            <w:shd w:val="clear" w:color="auto" w:fill="auto"/>
            <w:noWrap/>
            <w:vAlign w:val="bottom"/>
            <w:hideMark/>
          </w:tcPr>
          <w:p w14:paraId="2353A2D8" w14:textId="77777777" w:rsidR="008A7DD9" w:rsidRPr="00BB7773" w:rsidRDefault="008A7DD9" w:rsidP="00454173">
            <w:pPr>
              <w:ind w:firstLineChars="100" w:firstLine="200"/>
              <w:jc w:val="right"/>
              <w:rPr>
                <w:rFonts w:ascii="Calibri" w:hAnsi="Calibri" w:cs="Calibri"/>
                <w:color w:val="000000"/>
                <w:sz w:val="20"/>
                <w:szCs w:val="20"/>
              </w:rPr>
            </w:pPr>
          </w:p>
        </w:tc>
        <w:tc>
          <w:tcPr>
            <w:tcW w:w="1273" w:type="dxa"/>
            <w:tcBorders>
              <w:top w:val="nil"/>
              <w:left w:val="nil"/>
              <w:bottom w:val="nil"/>
              <w:right w:val="nil"/>
            </w:tcBorders>
            <w:shd w:val="clear" w:color="auto" w:fill="auto"/>
            <w:noWrap/>
            <w:vAlign w:val="bottom"/>
            <w:hideMark/>
          </w:tcPr>
          <w:p w14:paraId="5A9B1022"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(0.715)</w:t>
            </w:r>
          </w:p>
        </w:tc>
        <w:tc>
          <w:tcPr>
            <w:tcW w:w="1273" w:type="dxa"/>
            <w:tcBorders>
              <w:top w:val="nil"/>
              <w:left w:val="nil"/>
              <w:bottom w:val="nil"/>
              <w:right w:val="nil"/>
            </w:tcBorders>
            <w:shd w:val="clear" w:color="auto" w:fill="auto"/>
            <w:noWrap/>
            <w:vAlign w:val="bottom"/>
            <w:hideMark/>
          </w:tcPr>
          <w:p w14:paraId="09C6E1A0"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(0.733)</w:t>
            </w:r>
          </w:p>
        </w:tc>
        <w:tc>
          <w:tcPr>
            <w:tcW w:w="1273" w:type="dxa"/>
            <w:tcBorders>
              <w:top w:val="nil"/>
              <w:left w:val="nil"/>
              <w:bottom w:val="nil"/>
              <w:right w:val="nil"/>
            </w:tcBorders>
            <w:shd w:val="clear" w:color="auto" w:fill="auto"/>
            <w:noWrap/>
            <w:vAlign w:val="bottom"/>
            <w:hideMark/>
          </w:tcPr>
          <w:p w14:paraId="2DCA7D42"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(0.320)</w:t>
            </w:r>
          </w:p>
        </w:tc>
        <w:tc>
          <w:tcPr>
            <w:tcW w:w="1273" w:type="dxa"/>
            <w:tcBorders>
              <w:top w:val="nil"/>
              <w:left w:val="nil"/>
              <w:bottom w:val="nil"/>
              <w:right w:val="nil"/>
            </w:tcBorders>
            <w:shd w:val="clear" w:color="auto" w:fill="auto"/>
            <w:noWrap/>
            <w:vAlign w:val="bottom"/>
            <w:hideMark/>
          </w:tcPr>
          <w:p w14:paraId="4C34276A"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(0.601)</w:t>
            </w:r>
          </w:p>
        </w:tc>
      </w:tr>
      <w:tr w:rsidR="008A7DD9" w:rsidRPr="00BB7773" w14:paraId="5A75ACF9" w14:textId="77777777" w:rsidTr="008A7DD9">
        <w:trPr>
          <w:trHeight w:val="300"/>
        </w:trPr>
        <w:tc>
          <w:tcPr>
            <w:tcW w:w="2250" w:type="dxa"/>
            <w:tcBorders>
              <w:top w:val="nil"/>
              <w:left w:val="nil"/>
              <w:bottom w:val="nil"/>
              <w:right w:val="nil"/>
            </w:tcBorders>
            <w:shd w:val="clear" w:color="auto" w:fill="auto"/>
            <w:noWrap/>
            <w:vAlign w:val="center"/>
            <w:hideMark/>
          </w:tcPr>
          <w:p w14:paraId="2891A319" w14:textId="77777777" w:rsidR="008A7DD9" w:rsidRPr="00BB7773" w:rsidRDefault="008A7DD9" w:rsidP="00454173">
            <w:pPr>
              <w:rPr>
                <w:rFonts w:ascii="Calibri" w:hAnsi="Calibri" w:cs="Calibri"/>
                <w:color w:val="000000"/>
                <w:sz w:val="20"/>
                <w:szCs w:val="20"/>
              </w:rPr>
            </w:pPr>
            <w:r w:rsidRPr="00BB7773">
              <w:rPr>
                <w:rFonts w:ascii="Calibri" w:hAnsi="Calibri" w:cs="Calibri"/>
                <w:color w:val="000000"/>
                <w:sz w:val="20"/>
              </w:rPr>
              <w:t>% Population &gt;=65</w:t>
            </w:r>
          </w:p>
        </w:tc>
        <w:tc>
          <w:tcPr>
            <w:tcW w:w="1273" w:type="dxa"/>
            <w:tcBorders>
              <w:top w:val="nil"/>
              <w:left w:val="nil"/>
              <w:bottom w:val="nil"/>
              <w:right w:val="nil"/>
            </w:tcBorders>
            <w:shd w:val="clear" w:color="auto" w:fill="auto"/>
            <w:noWrap/>
            <w:vAlign w:val="bottom"/>
            <w:hideMark/>
          </w:tcPr>
          <w:p w14:paraId="762AC74D"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0.3444</w:t>
            </w:r>
          </w:p>
        </w:tc>
        <w:tc>
          <w:tcPr>
            <w:tcW w:w="1273" w:type="dxa"/>
            <w:tcBorders>
              <w:top w:val="nil"/>
              <w:left w:val="nil"/>
              <w:bottom w:val="nil"/>
              <w:right w:val="nil"/>
            </w:tcBorders>
            <w:shd w:val="clear" w:color="auto" w:fill="auto"/>
            <w:noWrap/>
            <w:vAlign w:val="bottom"/>
            <w:hideMark/>
          </w:tcPr>
          <w:p w14:paraId="622CD147"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0.2399</w:t>
            </w:r>
          </w:p>
        </w:tc>
        <w:tc>
          <w:tcPr>
            <w:tcW w:w="1273" w:type="dxa"/>
            <w:tcBorders>
              <w:top w:val="nil"/>
              <w:left w:val="nil"/>
              <w:bottom w:val="nil"/>
              <w:right w:val="nil"/>
            </w:tcBorders>
            <w:shd w:val="clear" w:color="auto" w:fill="auto"/>
            <w:noWrap/>
            <w:vAlign w:val="bottom"/>
            <w:hideMark/>
          </w:tcPr>
          <w:p w14:paraId="6C6577D1"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0.1716</w:t>
            </w:r>
          </w:p>
        </w:tc>
        <w:tc>
          <w:tcPr>
            <w:tcW w:w="1273" w:type="dxa"/>
            <w:tcBorders>
              <w:top w:val="nil"/>
              <w:left w:val="nil"/>
              <w:bottom w:val="nil"/>
              <w:right w:val="nil"/>
            </w:tcBorders>
            <w:shd w:val="clear" w:color="auto" w:fill="auto"/>
            <w:noWrap/>
            <w:vAlign w:val="bottom"/>
            <w:hideMark/>
          </w:tcPr>
          <w:p w14:paraId="0BB283C4"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0.3585</w:t>
            </w:r>
          </w:p>
        </w:tc>
      </w:tr>
      <w:tr w:rsidR="008A7DD9" w:rsidRPr="00BB7773" w14:paraId="1571513D" w14:textId="77777777" w:rsidTr="008A7DD9">
        <w:trPr>
          <w:trHeight w:val="300"/>
        </w:trPr>
        <w:tc>
          <w:tcPr>
            <w:tcW w:w="2250" w:type="dxa"/>
            <w:tcBorders>
              <w:top w:val="nil"/>
              <w:left w:val="nil"/>
              <w:bottom w:val="single" w:sz="4" w:space="0" w:color="auto"/>
              <w:right w:val="nil"/>
            </w:tcBorders>
            <w:shd w:val="clear" w:color="auto" w:fill="auto"/>
            <w:noWrap/>
            <w:vAlign w:val="bottom"/>
            <w:hideMark/>
          </w:tcPr>
          <w:p w14:paraId="6F79C431" w14:textId="77777777" w:rsidR="008A7DD9" w:rsidRPr="00BB7773" w:rsidRDefault="008A7DD9" w:rsidP="00454173">
            <w:pPr>
              <w:rPr>
                <w:rFonts w:ascii="Calibri" w:hAnsi="Calibri" w:cs="Calibri"/>
                <w:color w:val="000000"/>
                <w:sz w:val="20"/>
                <w:szCs w:val="20"/>
              </w:rPr>
            </w:pPr>
            <w:r w:rsidRPr="00BB7773">
              <w:rPr>
                <w:rFonts w:ascii="Calibri" w:hAnsi="Calibri" w:cs="Calibri"/>
                <w:color w:val="000000"/>
                <w:sz w:val="20"/>
                <w:szCs w:val="20"/>
              </w:rPr>
              <w:t> </w:t>
            </w:r>
          </w:p>
        </w:tc>
        <w:tc>
          <w:tcPr>
            <w:tcW w:w="1273" w:type="dxa"/>
            <w:tcBorders>
              <w:top w:val="nil"/>
              <w:left w:val="nil"/>
              <w:bottom w:val="single" w:sz="4" w:space="0" w:color="auto"/>
              <w:right w:val="nil"/>
            </w:tcBorders>
            <w:shd w:val="clear" w:color="auto" w:fill="auto"/>
            <w:noWrap/>
            <w:vAlign w:val="bottom"/>
            <w:hideMark/>
          </w:tcPr>
          <w:p w14:paraId="2D686FAF"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(0.403)</w:t>
            </w:r>
          </w:p>
        </w:tc>
        <w:tc>
          <w:tcPr>
            <w:tcW w:w="1273" w:type="dxa"/>
            <w:tcBorders>
              <w:top w:val="nil"/>
              <w:left w:val="nil"/>
              <w:bottom w:val="single" w:sz="4" w:space="0" w:color="auto"/>
              <w:right w:val="nil"/>
            </w:tcBorders>
            <w:shd w:val="clear" w:color="auto" w:fill="auto"/>
            <w:noWrap/>
            <w:vAlign w:val="bottom"/>
            <w:hideMark/>
          </w:tcPr>
          <w:p w14:paraId="1A9144FF"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(0.377)</w:t>
            </w:r>
          </w:p>
        </w:tc>
        <w:tc>
          <w:tcPr>
            <w:tcW w:w="1273" w:type="dxa"/>
            <w:tcBorders>
              <w:top w:val="nil"/>
              <w:left w:val="nil"/>
              <w:bottom w:val="single" w:sz="4" w:space="0" w:color="auto"/>
              <w:right w:val="nil"/>
            </w:tcBorders>
            <w:shd w:val="clear" w:color="auto" w:fill="auto"/>
            <w:noWrap/>
            <w:vAlign w:val="bottom"/>
            <w:hideMark/>
          </w:tcPr>
          <w:p w14:paraId="5210BBDC"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(0.356)</w:t>
            </w:r>
          </w:p>
        </w:tc>
        <w:tc>
          <w:tcPr>
            <w:tcW w:w="1273" w:type="dxa"/>
            <w:tcBorders>
              <w:top w:val="nil"/>
              <w:left w:val="nil"/>
              <w:bottom w:val="single" w:sz="4" w:space="0" w:color="auto"/>
              <w:right w:val="nil"/>
            </w:tcBorders>
            <w:shd w:val="clear" w:color="auto" w:fill="auto"/>
            <w:noWrap/>
            <w:vAlign w:val="bottom"/>
            <w:hideMark/>
          </w:tcPr>
          <w:p w14:paraId="6703BCDD"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(0.298)</w:t>
            </w:r>
          </w:p>
        </w:tc>
      </w:tr>
      <w:tr w:rsidR="008A7DD9" w:rsidRPr="00BB7773" w14:paraId="530C0A66" w14:textId="77777777" w:rsidTr="008A7DD9">
        <w:trPr>
          <w:trHeight w:val="300"/>
        </w:trPr>
        <w:tc>
          <w:tcPr>
            <w:tcW w:w="2250" w:type="dxa"/>
            <w:tcBorders>
              <w:top w:val="nil"/>
              <w:left w:val="nil"/>
              <w:bottom w:val="nil"/>
              <w:right w:val="nil"/>
            </w:tcBorders>
            <w:shd w:val="clear" w:color="auto" w:fill="auto"/>
            <w:noWrap/>
            <w:vAlign w:val="center"/>
            <w:hideMark/>
          </w:tcPr>
          <w:p w14:paraId="37465AAA" w14:textId="77777777" w:rsidR="008A7DD9" w:rsidRPr="00BB7773" w:rsidRDefault="008A7DD9" w:rsidP="00454173">
            <w:pPr>
              <w:rPr>
                <w:rFonts w:ascii="Calibri" w:hAnsi="Calibri" w:cs="Calibri"/>
                <w:color w:val="000000"/>
                <w:sz w:val="20"/>
                <w:szCs w:val="20"/>
              </w:rPr>
            </w:pPr>
            <w:r>
              <w:rPr>
                <w:rFonts w:ascii="Calibri" w:hAnsi="Calibri" w:cs="Calibri"/>
                <w:color w:val="000000"/>
                <w:sz w:val="20"/>
              </w:rPr>
              <w:t>Number of Observations</w:t>
            </w:r>
          </w:p>
        </w:tc>
        <w:tc>
          <w:tcPr>
            <w:tcW w:w="1273" w:type="dxa"/>
            <w:tcBorders>
              <w:top w:val="nil"/>
              <w:left w:val="nil"/>
              <w:bottom w:val="nil"/>
              <w:right w:val="nil"/>
            </w:tcBorders>
            <w:shd w:val="clear" w:color="auto" w:fill="auto"/>
            <w:noWrap/>
            <w:vAlign w:val="bottom"/>
            <w:hideMark/>
          </w:tcPr>
          <w:p w14:paraId="21110CDE"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628</w:t>
            </w:r>
          </w:p>
        </w:tc>
        <w:tc>
          <w:tcPr>
            <w:tcW w:w="1273" w:type="dxa"/>
            <w:tcBorders>
              <w:top w:val="nil"/>
              <w:left w:val="nil"/>
              <w:bottom w:val="nil"/>
              <w:right w:val="nil"/>
            </w:tcBorders>
            <w:shd w:val="clear" w:color="auto" w:fill="auto"/>
            <w:noWrap/>
            <w:vAlign w:val="bottom"/>
            <w:hideMark/>
          </w:tcPr>
          <w:p w14:paraId="262763B6"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628</w:t>
            </w:r>
          </w:p>
        </w:tc>
        <w:tc>
          <w:tcPr>
            <w:tcW w:w="1273" w:type="dxa"/>
            <w:tcBorders>
              <w:top w:val="nil"/>
              <w:left w:val="nil"/>
              <w:bottom w:val="nil"/>
              <w:right w:val="nil"/>
            </w:tcBorders>
            <w:shd w:val="clear" w:color="auto" w:fill="auto"/>
            <w:noWrap/>
            <w:vAlign w:val="bottom"/>
            <w:hideMark/>
          </w:tcPr>
          <w:p w14:paraId="50290665"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624</w:t>
            </w:r>
          </w:p>
        </w:tc>
        <w:tc>
          <w:tcPr>
            <w:tcW w:w="1273" w:type="dxa"/>
            <w:tcBorders>
              <w:top w:val="nil"/>
              <w:left w:val="nil"/>
              <w:bottom w:val="nil"/>
              <w:right w:val="nil"/>
            </w:tcBorders>
            <w:shd w:val="clear" w:color="auto" w:fill="auto"/>
            <w:noWrap/>
            <w:vAlign w:val="bottom"/>
            <w:hideMark/>
          </w:tcPr>
          <w:p w14:paraId="50E74342" w14:textId="77777777" w:rsidR="008A7DD9" w:rsidRPr="00BB7773" w:rsidRDefault="008A7DD9" w:rsidP="00454173">
            <w:pPr>
              <w:ind w:firstLineChars="100" w:firstLine="200"/>
              <w:jc w:val="right"/>
              <w:rPr>
                <w:rFonts w:ascii="Calibri" w:hAnsi="Calibri" w:cs="Calibri"/>
                <w:color w:val="000000"/>
                <w:sz w:val="20"/>
                <w:szCs w:val="20"/>
              </w:rPr>
            </w:pPr>
            <w:r w:rsidRPr="00BB7773">
              <w:rPr>
                <w:rFonts w:ascii="Calibri" w:hAnsi="Calibri" w:cs="Calibri"/>
                <w:color w:val="000000"/>
                <w:sz w:val="20"/>
                <w:szCs w:val="20"/>
              </w:rPr>
              <w:t>459</w:t>
            </w:r>
          </w:p>
        </w:tc>
      </w:tr>
    </w:tbl>
    <w:p w14:paraId="0FF7D994" w14:textId="49C01A5C" w:rsidR="008A7DD9" w:rsidRPr="00AA236D" w:rsidRDefault="008A7DD9" w:rsidP="008A7DD9">
      <w:pPr>
        <w:rPr>
          <w:rFonts w:asciiTheme="minorHAnsi" w:hAnsiTheme="minorHAnsi" w:cstheme="minorHAnsi"/>
          <w:sz w:val="20"/>
          <w:szCs w:val="20"/>
        </w:rPr>
      </w:pPr>
      <w:r w:rsidRPr="00AA236D">
        <w:rPr>
          <w:rFonts w:asciiTheme="minorHAnsi" w:hAnsiTheme="minorHAnsi" w:cstheme="minorHAnsi"/>
          <w:sz w:val="20"/>
          <w:szCs w:val="20"/>
        </w:rPr>
        <w:t>Notes: Standard errors in parentheses.  *p 0.10, **p&lt;.05, ***p&lt;.01 (clustered robust errors)</w:t>
      </w:r>
    </w:p>
    <w:p w14:paraId="02BEF401" w14:textId="77777777" w:rsidR="001656EF" w:rsidRDefault="001656EF" w:rsidP="00CA364D"/>
    <w:p w14:paraId="22160C58" w14:textId="197AF383" w:rsidR="000322E1" w:rsidRDefault="00060EC0" w:rsidP="00060EC0">
      <w:pPr>
        <w:rPr>
          <w:b/>
        </w:rPr>
      </w:pPr>
      <w:r>
        <w:rPr>
          <w:b/>
        </w:rPr>
        <w:t>V</w:t>
      </w:r>
      <w:r w:rsidR="00702E21">
        <w:rPr>
          <w:b/>
        </w:rPr>
        <w:t>I</w:t>
      </w:r>
      <w:r>
        <w:rPr>
          <w:b/>
        </w:rPr>
        <w:t xml:space="preserve">. </w:t>
      </w:r>
      <w:r w:rsidR="00C97BC0">
        <w:rPr>
          <w:b/>
        </w:rPr>
        <w:t>Discuss</w:t>
      </w:r>
      <w:r w:rsidR="009E079F">
        <w:rPr>
          <w:b/>
        </w:rPr>
        <w:t>i</w:t>
      </w:r>
      <w:r w:rsidR="00C97BC0">
        <w:rPr>
          <w:b/>
        </w:rPr>
        <w:t>on</w:t>
      </w:r>
      <w:r w:rsidR="0072084A">
        <w:rPr>
          <w:b/>
        </w:rPr>
        <w:t xml:space="preserve"> </w:t>
      </w:r>
      <w:r w:rsidR="000322E1">
        <w:rPr>
          <w:b/>
        </w:rPr>
        <w:t xml:space="preserve"> </w:t>
      </w:r>
    </w:p>
    <w:p w14:paraId="42E45A1E" w14:textId="77777777" w:rsidR="00060EC0" w:rsidRDefault="00060EC0" w:rsidP="00060EC0">
      <w:pPr>
        <w:rPr>
          <w:b/>
        </w:rPr>
      </w:pPr>
    </w:p>
    <w:p w14:paraId="4D621C0C" w14:textId="56DD6407" w:rsidR="00706744" w:rsidRDefault="00706744" w:rsidP="0069501B">
      <w:r>
        <w:tab/>
        <w:t xml:space="preserve">The results of </w:t>
      </w:r>
      <w:r w:rsidR="008F33B9">
        <w:t>our estimated</w:t>
      </w:r>
      <w:r>
        <w:t xml:space="preserve"> suggest that when comparing the spread of the disease across cities, regions or even countries, there really needs to be a focus on cases per</w:t>
      </w:r>
      <w:r w:rsidR="00857FD8">
        <w:t xml:space="preserve"> </w:t>
      </w:r>
      <w:r>
        <w:t xml:space="preserve">capita. Larger </w:t>
      </w:r>
      <w:r w:rsidR="008F33B9">
        <w:t xml:space="preserve">areas </w:t>
      </w:r>
      <w:r>
        <w:t>(greater population</w:t>
      </w:r>
      <w:r w:rsidR="008F33B9">
        <w:t>s</w:t>
      </w:r>
      <w:r>
        <w:t xml:space="preserve">) seem to have higher infections early on and this carries over throughout the spread of the disease. </w:t>
      </w:r>
      <w:r w:rsidR="00EF37ED">
        <w:t xml:space="preserve">Two population are at a similar stage of the disease (similar place along the cumulative curve) </w:t>
      </w:r>
      <w:r w:rsidR="008F33B9">
        <w:t xml:space="preserve">only </w:t>
      </w:r>
      <w:r w:rsidR="00EF37ED">
        <w:t xml:space="preserve">when their </w:t>
      </w:r>
      <w:r w:rsidR="005E63FE">
        <w:rPr>
          <w:i/>
        </w:rPr>
        <w:t>per capita</w:t>
      </w:r>
      <w:r w:rsidR="00EF37ED" w:rsidRPr="008F33B9">
        <w:rPr>
          <w:i/>
        </w:rPr>
        <w:t xml:space="preserve"> </w:t>
      </w:r>
      <w:r w:rsidR="00EF37ED">
        <w:t xml:space="preserve">cases are the same. With </w:t>
      </w:r>
      <w:r>
        <w:t xml:space="preserve">more travel, more trade, </w:t>
      </w:r>
      <w:r w:rsidR="00A9199B">
        <w:t xml:space="preserve">it </w:t>
      </w:r>
      <w:r w:rsidR="008F33B9">
        <w:t xml:space="preserve">also </w:t>
      </w:r>
      <w:r w:rsidR="00A9199B">
        <w:t xml:space="preserve">is quite possible that </w:t>
      </w:r>
      <w:r w:rsidR="00EF37ED">
        <w:t>larger populations have a greater number of external “</w:t>
      </w:r>
      <w:proofErr w:type="spellStart"/>
      <w:r w:rsidR="00EF37ED">
        <w:t>seedings</w:t>
      </w:r>
      <w:proofErr w:type="spellEnd"/>
      <w:r w:rsidR="00EF37ED">
        <w:t>” so perhaps we should think of a seeding rate, rather than a single seeding.</w:t>
      </w:r>
      <w:r>
        <w:t xml:space="preserve"> </w:t>
      </w:r>
    </w:p>
    <w:p w14:paraId="47DAC875" w14:textId="77777777" w:rsidR="00706744" w:rsidRDefault="00706744" w:rsidP="0069501B"/>
    <w:p w14:paraId="2F491103" w14:textId="5D679573" w:rsidR="0011292F" w:rsidRDefault="00706744" w:rsidP="0069501B">
      <w:r>
        <w:tab/>
        <w:t>Our results on the impact of time-since-initial exposure</w:t>
      </w:r>
      <w:r w:rsidR="008F33B9">
        <w:t>(s)</w:t>
      </w:r>
      <w:r>
        <w:t xml:space="preserve"> are </w:t>
      </w:r>
      <w:r w:rsidR="00EF37ED">
        <w:t>somewhat</w:t>
      </w:r>
      <w:r>
        <w:t xml:space="preserve"> </w:t>
      </w:r>
      <w:r w:rsidR="00EF37ED">
        <w:t>optimistic</w:t>
      </w:r>
      <w:r>
        <w:t xml:space="preserve">. </w:t>
      </w:r>
      <w:r w:rsidR="007C5520">
        <w:t>If we examine th</w:t>
      </w:r>
      <w:r>
        <w:t xml:space="preserve">e underlying </w:t>
      </w:r>
      <w:r w:rsidR="007C5520">
        <w:t xml:space="preserve">growth </w:t>
      </w:r>
      <w:r>
        <w:t>of the disease</w:t>
      </w:r>
      <w:r w:rsidR="00BE6671">
        <w:t xml:space="preserve"> in the US </w:t>
      </w:r>
      <w:r w:rsidR="007C5520">
        <w:t xml:space="preserve">areas – beyond an initial level of 1 case per 10,000 – the growth rate is distinctively decreasing. </w:t>
      </w:r>
      <w:r w:rsidR="0011292F">
        <w:t xml:space="preserve">An ebbing of case growth is certainly a prelude to </w:t>
      </w:r>
      <w:r w:rsidR="008F33B9">
        <w:t xml:space="preserve">a </w:t>
      </w:r>
      <w:r w:rsidR="0011292F">
        <w:t xml:space="preserve">peak in the number of active cases and </w:t>
      </w:r>
      <w:r w:rsidR="008F33B9">
        <w:t xml:space="preserve">then </w:t>
      </w:r>
      <w:r w:rsidR="0011292F">
        <w:t>subsequent recovery of the population</w:t>
      </w:r>
      <w:r w:rsidR="007C5520">
        <w:t xml:space="preserve"> </w:t>
      </w:r>
      <w:r w:rsidR="008F33B9">
        <w:t xml:space="preserve">- </w:t>
      </w:r>
      <w:r w:rsidR="007C5520">
        <w:t>in an epidemiological model</w:t>
      </w:r>
      <w:r w:rsidR="0011292F">
        <w:t xml:space="preserve">. </w:t>
      </w:r>
    </w:p>
    <w:p w14:paraId="211E7822" w14:textId="77777777" w:rsidR="0011292F" w:rsidRDefault="0011292F" w:rsidP="0069501B"/>
    <w:p w14:paraId="28F3743D" w14:textId="6D84BC5D" w:rsidR="00440798" w:rsidRDefault="00440798" w:rsidP="0069501B">
      <w:r>
        <w:tab/>
        <w:t xml:space="preserve">Of our demographic covariates, </w:t>
      </w:r>
      <w:r w:rsidR="00773DDB">
        <w:t xml:space="preserve">there were </w:t>
      </w:r>
      <w:r>
        <w:t>two surprises. The result that higher income areas have much larger cases per capita needs a</w:t>
      </w:r>
      <w:r w:rsidR="00857FD8">
        <w:t>n</w:t>
      </w:r>
      <w:r>
        <w:t xml:space="preserve"> explanation. It is tempting to </w:t>
      </w:r>
      <w:r w:rsidR="00A06371">
        <w:t>suggest that</w:t>
      </w:r>
      <w:r>
        <w:t xml:space="preserve"> perhaps dining out, entertaining, and socialization are all income elastic consumption items – items that also generate</w:t>
      </w:r>
      <w:r w:rsidR="008F33B9">
        <w:t xml:space="preserve"> higher</w:t>
      </w:r>
      <w:r>
        <w:t xml:space="preserve"> infection risk. But we need further direct research before drawing </w:t>
      </w:r>
      <w:r>
        <w:lastRenderedPageBreak/>
        <w:t xml:space="preserve">this conclusion. The other surprise was the </w:t>
      </w:r>
      <w:r w:rsidR="008F33B9">
        <w:t>anticipated strong impact of density occurs only when we begin to examine smaller areas like counties and not entire MSA</w:t>
      </w:r>
      <w:r w:rsidR="00A06371">
        <w:t>s</w:t>
      </w:r>
      <w:r>
        <w:t xml:space="preserve">. </w:t>
      </w:r>
    </w:p>
    <w:p w14:paraId="4AA73E36" w14:textId="77777777" w:rsidR="00857FD8" w:rsidRDefault="00857FD8" w:rsidP="0069501B"/>
    <w:p w14:paraId="1EBF115E" w14:textId="70EFABFD" w:rsidR="00440798" w:rsidRDefault="00440798" w:rsidP="0069501B">
      <w:r>
        <w:tab/>
        <w:t xml:space="preserve">We will continue to redo these models as </w:t>
      </w:r>
      <w:r w:rsidR="00B3703C">
        <w:t xml:space="preserve">additional data become available. </w:t>
      </w:r>
      <w:r>
        <w:t xml:space="preserve"> We also will explore using more flexible functions for the underlying relationship between exposure days and number of cases. The problem is </w:t>
      </w:r>
      <w:r w:rsidR="005B2B0C">
        <w:t xml:space="preserve">that </w:t>
      </w:r>
      <w:r>
        <w:t xml:space="preserve">parameterizing them statistically can be quite complicated. </w:t>
      </w:r>
    </w:p>
    <w:p w14:paraId="21924CC8" w14:textId="77777777" w:rsidR="003E418E" w:rsidRDefault="003E418E" w:rsidP="00592092">
      <w:pPr>
        <w:rPr>
          <w:b/>
        </w:rPr>
      </w:pPr>
      <w:r>
        <w:tab/>
      </w:r>
      <w:r>
        <w:tab/>
      </w:r>
      <w:r>
        <w:tab/>
      </w:r>
      <w:r>
        <w:tab/>
      </w:r>
      <w:r w:rsidRPr="003E418E">
        <w:rPr>
          <w:b/>
        </w:rPr>
        <w:tab/>
        <w:t>REFERENCES</w:t>
      </w:r>
    </w:p>
    <w:p w14:paraId="049869DB" w14:textId="77777777" w:rsidR="00B55370" w:rsidRDefault="00B55370" w:rsidP="00592092">
      <w:pPr>
        <w:rPr>
          <w:b/>
        </w:rPr>
      </w:pPr>
    </w:p>
    <w:p w14:paraId="662197D3" w14:textId="77777777" w:rsidR="00B55370" w:rsidRDefault="00B55370" w:rsidP="00592092">
      <w:pPr>
        <w:rPr>
          <w:b/>
        </w:rPr>
      </w:pPr>
    </w:p>
    <w:p w14:paraId="31CA6C5E" w14:textId="42D6A90F" w:rsidR="002E4F7A" w:rsidRDefault="00506EBB" w:rsidP="006655E2">
      <w:pPr>
        <w:kinsoku w:val="0"/>
        <w:overflowPunct w:val="0"/>
        <w:autoSpaceDE w:val="0"/>
        <w:autoSpaceDN w:val="0"/>
        <w:adjustRightInd w:val="0"/>
        <w:spacing w:line="292" w:lineRule="exact"/>
        <w:jc w:val="both"/>
        <w:rPr>
          <w:rFonts w:eastAsia="PMingLiU"/>
          <w:spacing w:val="-1"/>
          <w:w w:val="110"/>
        </w:rPr>
      </w:pPr>
      <w:r w:rsidRPr="00F30DF8">
        <w:rPr>
          <w:rFonts w:eastAsia="PMingLiU"/>
          <w:spacing w:val="-1"/>
          <w:w w:val="110"/>
        </w:rPr>
        <w:t>Ferguson, Neil et al.</w:t>
      </w:r>
      <w:r w:rsidR="006655E2" w:rsidRPr="00F30DF8">
        <w:rPr>
          <w:rFonts w:eastAsia="PMingLiU"/>
          <w:spacing w:val="-1"/>
          <w:w w:val="110"/>
        </w:rPr>
        <w:t xml:space="preserve"> (3/16/2020</w:t>
      </w:r>
      <w:r w:rsidR="006655E2" w:rsidRPr="00F30DF8">
        <w:rPr>
          <w:rFonts w:eastAsia="PMingLiU"/>
          <w:i/>
          <w:spacing w:val="-1"/>
          <w:w w:val="110"/>
        </w:rPr>
        <w:t>)</w:t>
      </w:r>
      <w:r w:rsidRPr="00F30DF8">
        <w:rPr>
          <w:rFonts w:eastAsia="PMingLiU"/>
          <w:i/>
          <w:spacing w:val="-1"/>
          <w:w w:val="110"/>
        </w:rPr>
        <w:t xml:space="preserve"> Impact of Non-Pharmaceutical Interventions to reduce </w:t>
      </w:r>
      <w:r w:rsidR="005E63FE">
        <w:rPr>
          <w:rFonts w:eastAsia="PMingLiU"/>
          <w:i/>
          <w:spacing w:val="-1"/>
          <w:w w:val="110"/>
        </w:rPr>
        <w:t>Covid-19</w:t>
      </w:r>
      <w:r w:rsidRPr="00F30DF8">
        <w:rPr>
          <w:rFonts w:eastAsia="PMingLiU"/>
          <w:i/>
          <w:spacing w:val="-1"/>
          <w:w w:val="110"/>
        </w:rPr>
        <w:t xml:space="preserve"> Mortality and </w:t>
      </w:r>
      <w:r w:rsidR="006655E2" w:rsidRPr="00F30DF8">
        <w:rPr>
          <w:rFonts w:eastAsia="PMingLiU"/>
          <w:i/>
          <w:spacing w:val="-1"/>
          <w:w w:val="110"/>
        </w:rPr>
        <w:t>Health Care Demand</w:t>
      </w:r>
      <w:r w:rsidR="006655E2" w:rsidRPr="00F30DF8">
        <w:rPr>
          <w:rFonts w:eastAsia="PMingLiU"/>
          <w:spacing w:val="-1"/>
          <w:w w:val="110"/>
        </w:rPr>
        <w:t xml:space="preserve">, Imperial College London, </w:t>
      </w:r>
      <w:r w:rsidR="005E63FE">
        <w:rPr>
          <w:rFonts w:eastAsia="PMingLiU"/>
          <w:spacing w:val="-1"/>
          <w:w w:val="110"/>
        </w:rPr>
        <w:t>Covid-19</w:t>
      </w:r>
      <w:r w:rsidR="006655E2" w:rsidRPr="00F30DF8">
        <w:rPr>
          <w:rFonts w:eastAsia="PMingLiU"/>
          <w:spacing w:val="-1"/>
          <w:w w:val="110"/>
        </w:rPr>
        <w:t xml:space="preserve"> Response Team.</w:t>
      </w:r>
    </w:p>
    <w:p w14:paraId="1B59ED22" w14:textId="63EAEA85" w:rsidR="00F30DF8" w:rsidRDefault="00F30DF8" w:rsidP="006655E2">
      <w:pPr>
        <w:kinsoku w:val="0"/>
        <w:overflowPunct w:val="0"/>
        <w:autoSpaceDE w:val="0"/>
        <w:autoSpaceDN w:val="0"/>
        <w:adjustRightInd w:val="0"/>
        <w:spacing w:line="292" w:lineRule="exact"/>
        <w:jc w:val="both"/>
        <w:rPr>
          <w:rFonts w:eastAsia="PMingLiU"/>
          <w:spacing w:val="-1"/>
          <w:w w:val="110"/>
        </w:rPr>
      </w:pPr>
    </w:p>
    <w:p w14:paraId="4633E0DC" w14:textId="60AE75A5" w:rsidR="00F30DF8" w:rsidRPr="00F30DF8" w:rsidRDefault="00F30DF8" w:rsidP="006655E2">
      <w:pPr>
        <w:kinsoku w:val="0"/>
        <w:overflowPunct w:val="0"/>
        <w:autoSpaceDE w:val="0"/>
        <w:autoSpaceDN w:val="0"/>
        <w:adjustRightInd w:val="0"/>
        <w:spacing w:line="292" w:lineRule="exact"/>
        <w:jc w:val="both"/>
        <w:rPr>
          <w:rFonts w:eastAsia="PMingLiU"/>
          <w:spacing w:val="-1"/>
          <w:w w:val="110"/>
        </w:rPr>
      </w:pPr>
      <w:r>
        <w:rPr>
          <w:rFonts w:eastAsia="PMingLiU"/>
          <w:spacing w:val="-1"/>
          <w:w w:val="110"/>
        </w:rPr>
        <w:t xml:space="preserve">Harris, Jeffrey, </w:t>
      </w:r>
      <w:r w:rsidRPr="00F30DF8">
        <w:rPr>
          <w:rFonts w:eastAsia="PMingLiU"/>
          <w:i/>
          <w:spacing w:val="-1"/>
          <w:w w:val="110"/>
        </w:rPr>
        <w:t>The Coronavirus Epidemic Curve is already flattening in NYC</w:t>
      </w:r>
      <w:r>
        <w:rPr>
          <w:rFonts w:eastAsia="PMingLiU"/>
          <w:i/>
          <w:spacing w:val="-1"/>
          <w:w w:val="110"/>
        </w:rPr>
        <w:t xml:space="preserve">, </w:t>
      </w:r>
      <w:r>
        <w:rPr>
          <w:rFonts w:eastAsia="PMingLiU"/>
          <w:spacing w:val="-1"/>
          <w:w w:val="110"/>
        </w:rPr>
        <w:t xml:space="preserve">NBER Working Paper, (3/30/2020). </w:t>
      </w:r>
    </w:p>
    <w:p w14:paraId="0B156306" w14:textId="4E848916" w:rsidR="00F30DF8" w:rsidRPr="00F30DF8" w:rsidRDefault="00F30DF8" w:rsidP="006655E2">
      <w:pPr>
        <w:kinsoku w:val="0"/>
        <w:overflowPunct w:val="0"/>
        <w:autoSpaceDE w:val="0"/>
        <w:autoSpaceDN w:val="0"/>
        <w:adjustRightInd w:val="0"/>
        <w:spacing w:line="292" w:lineRule="exact"/>
        <w:jc w:val="both"/>
        <w:rPr>
          <w:rFonts w:eastAsia="PMingLiU"/>
          <w:spacing w:val="-1"/>
          <w:w w:val="110"/>
        </w:rPr>
      </w:pPr>
    </w:p>
    <w:p w14:paraId="14D2DF1D" w14:textId="77777777" w:rsidR="00F30DF8" w:rsidRPr="00F30DF8" w:rsidRDefault="00F30DF8" w:rsidP="00F30DF8">
      <w:pPr>
        <w:autoSpaceDE w:val="0"/>
        <w:autoSpaceDN w:val="0"/>
        <w:adjustRightInd w:val="0"/>
        <w:rPr>
          <w:i/>
          <w:iCs/>
          <w:color w:val="000000"/>
        </w:rPr>
      </w:pPr>
      <w:proofErr w:type="spellStart"/>
      <w:r w:rsidRPr="00F30DF8">
        <w:rPr>
          <w:color w:val="000000"/>
        </w:rPr>
        <w:t>Wölfel</w:t>
      </w:r>
      <w:proofErr w:type="spellEnd"/>
      <w:r w:rsidRPr="00F30DF8">
        <w:rPr>
          <w:color w:val="000000"/>
        </w:rPr>
        <w:t xml:space="preserve">, R., V.M. </w:t>
      </w:r>
      <w:proofErr w:type="spellStart"/>
      <w:r w:rsidRPr="00F30DF8">
        <w:rPr>
          <w:color w:val="000000"/>
        </w:rPr>
        <w:t>Corman</w:t>
      </w:r>
      <w:proofErr w:type="spellEnd"/>
      <w:r w:rsidRPr="00F30DF8">
        <w:rPr>
          <w:color w:val="000000"/>
        </w:rPr>
        <w:t xml:space="preserve">, W. </w:t>
      </w:r>
      <w:proofErr w:type="spellStart"/>
      <w:r w:rsidRPr="00F30DF8">
        <w:rPr>
          <w:color w:val="000000"/>
        </w:rPr>
        <w:t>Guggemos</w:t>
      </w:r>
      <w:proofErr w:type="spellEnd"/>
      <w:r w:rsidRPr="00F30DF8">
        <w:rPr>
          <w:color w:val="000000"/>
        </w:rPr>
        <w:t xml:space="preserve">, and et al. 2020. </w:t>
      </w:r>
      <w:proofErr w:type="spellStart"/>
      <w:r w:rsidRPr="00F30DF8">
        <w:rPr>
          <w:i/>
          <w:iCs/>
          <w:color w:val="000000"/>
        </w:rPr>
        <w:t>Virological</w:t>
      </w:r>
      <w:proofErr w:type="spellEnd"/>
      <w:r w:rsidRPr="00F30DF8">
        <w:rPr>
          <w:i/>
          <w:iCs/>
          <w:color w:val="000000"/>
        </w:rPr>
        <w:t xml:space="preserve"> assessment of hospitalized</w:t>
      </w:r>
    </w:p>
    <w:p w14:paraId="78C628DC" w14:textId="77777777" w:rsidR="00F30DF8" w:rsidRPr="00F30DF8" w:rsidRDefault="00F30DF8" w:rsidP="00F30DF8">
      <w:pPr>
        <w:autoSpaceDE w:val="0"/>
        <w:autoSpaceDN w:val="0"/>
        <w:adjustRightInd w:val="0"/>
        <w:rPr>
          <w:i/>
          <w:iCs/>
          <w:color w:val="000000"/>
        </w:rPr>
      </w:pPr>
      <w:r w:rsidRPr="00F30DF8">
        <w:rPr>
          <w:i/>
          <w:iCs/>
          <w:color w:val="000000"/>
        </w:rPr>
        <w:t>cases of coronavirus disease 2019</w:t>
      </w:r>
    </w:p>
    <w:p w14:paraId="4D8BFBC4" w14:textId="6430AEC1" w:rsidR="00F30DF8" w:rsidRPr="00F30DF8" w:rsidRDefault="00F30DF8" w:rsidP="00F30DF8">
      <w:pPr>
        <w:autoSpaceDE w:val="0"/>
        <w:autoSpaceDN w:val="0"/>
        <w:adjustRightInd w:val="0"/>
      </w:pPr>
      <w:r w:rsidRPr="00F30DF8">
        <w:rPr>
          <w:color w:val="0563C2"/>
        </w:rPr>
        <w:t>https://www.medrxiv.org/content/10.1101/2020.03.05.20030502v1.full.pdf</w:t>
      </w:r>
      <w:r w:rsidRPr="00F30DF8">
        <w:rPr>
          <w:color w:val="000000"/>
        </w:rPr>
        <w:t>: March 5,</w:t>
      </w:r>
      <w:r>
        <w:rPr>
          <w:color w:val="000000"/>
        </w:rPr>
        <w:t xml:space="preserve"> </w:t>
      </w:r>
      <w:r w:rsidRPr="00F30DF8">
        <w:rPr>
          <w:color w:val="000000"/>
        </w:rPr>
        <w:t>2020.</w:t>
      </w:r>
    </w:p>
    <w:p w14:paraId="3DAC2F82" w14:textId="63B04E9B" w:rsidR="003E418E" w:rsidRDefault="003E418E" w:rsidP="00592092"/>
    <w:p w14:paraId="2505FE50" w14:textId="0C5FC8C1" w:rsidR="0075202B" w:rsidRDefault="00047D95" w:rsidP="00592092">
      <w:hyperlink r:id="rId23" w:history="1">
        <w:r w:rsidR="0075202B" w:rsidRPr="006D2AF3">
          <w:rPr>
            <w:rStyle w:val="Hyperlink"/>
          </w:rPr>
          <w:t>https://www.nytimes.com/interactive/2020/04/03/world/coronavirus-flatten-the-curve-countries.html</w:t>
        </w:r>
      </w:hyperlink>
    </w:p>
    <w:p w14:paraId="348654BD" w14:textId="51A53D9F" w:rsidR="0075202B" w:rsidRDefault="0075202B" w:rsidP="00592092"/>
    <w:p w14:paraId="4B39EEBA" w14:textId="7C036557" w:rsidR="0075202B" w:rsidRDefault="00047D95" w:rsidP="00592092">
      <w:hyperlink r:id="rId24" w:history="1">
        <w:r w:rsidR="0075202B" w:rsidRPr="006D2AF3">
          <w:rPr>
            <w:rStyle w:val="Hyperlink"/>
          </w:rPr>
          <w:t>https://www.nytimes.com/interactive/2020/us/coronavirus-us-cases.html</w:t>
        </w:r>
      </w:hyperlink>
    </w:p>
    <w:p w14:paraId="78C5D5BB" w14:textId="5AEC6534" w:rsidR="0075202B" w:rsidRDefault="0075202B" w:rsidP="00592092"/>
    <w:p w14:paraId="39F36C49" w14:textId="4A5835AF" w:rsidR="00891CE4" w:rsidRDefault="00047D95" w:rsidP="00592092">
      <w:hyperlink r:id="rId25" w:history="1">
        <w:r w:rsidR="00891CE4" w:rsidRPr="002B69E3">
          <w:rPr>
            <w:rStyle w:val="Hyperlink"/>
          </w:rPr>
          <w:t>https://www.cnn.com/interactive/2020/health/coronavirus-us-maps-and-cases/</w:t>
        </w:r>
      </w:hyperlink>
    </w:p>
    <w:p w14:paraId="083144E1" w14:textId="7335289E" w:rsidR="00903BD7" w:rsidRDefault="00903BD7">
      <w:r>
        <w:br w:type="page"/>
      </w:r>
    </w:p>
    <w:p w14:paraId="59641B26" w14:textId="75562A24" w:rsidR="00891CE4" w:rsidRDefault="00903BD7" w:rsidP="00592092">
      <w:r>
        <w:lastRenderedPageBreak/>
        <w:t>Appendix I</w:t>
      </w:r>
    </w:p>
    <w:p w14:paraId="059BA017" w14:textId="77777777" w:rsidR="00903BD7" w:rsidRDefault="00903BD7" w:rsidP="00592092"/>
    <w:p w14:paraId="4CF68A07" w14:textId="3E595352" w:rsidR="00891CE4" w:rsidRDefault="00903BD7" w:rsidP="00592092">
      <w:r w:rsidRPr="00903BD7">
        <w:rPr>
          <w:noProof/>
        </w:rPr>
        <w:drawing>
          <wp:inline distT="0" distB="0" distL="0" distR="0" wp14:anchorId="09921AD2" wp14:editId="5C4A0ED6">
            <wp:extent cx="5943600" cy="46890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689029"/>
                    </a:xfrm>
                    <a:prstGeom prst="rect">
                      <a:avLst/>
                    </a:prstGeom>
                    <a:noFill/>
                    <a:ln>
                      <a:noFill/>
                    </a:ln>
                  </pic:spPr>
                </pic:pic>
              </a:graphicData>
            </a:graphic>
          </wp:inline>
        </w:drawing>
      </w:r>
    </w:p>
    <w:p w14:paraId="03DE36C7" w14:textId="7EE8166E" w:rsidR="00903BD7" w:rsidRDefault="00903BD7" w:rsidP="00592092"/>
    <w:p w14:paraId="249EAB41" w14:textId="77777777" w:rsidR="00903BD7" w:rsidRDefault="00047D95" w:rsidP="00903BD7">
      <w:hyperlink r:id="rId27" w:history="1">
        <w:r w:rsidR="00903BD7" w:rsidRPr="00CF725F">
          <w:rPr>
            <w:rStyle w:val="Hyperlink"/>
          </w:rPr>
          <w:t>https://en.wikipedia.org/wiki/File:SIR_model_anim.gif</w:t>
        </w:r>
      </w:hyperlink>
    </w:p>
    <w:p w14:paraId="28B16543" w14:textId="77777777" w:rsidR="00903BD7" w:rsidRPr="00F30DF8" w:rsidRDefault="00903BD7" w:rsidP="00592092"/>
    <w:sectPr w:rsidR="00903BD7" w:rsidRPr="00F30DF8" w:rsidSect="0002045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5780E1" w16cid:durableId="2235D36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532E1" w14:textId="77777777" w:rsidR="00047D95" w:rsidRDefault="00047D95" w:rsidP="00623BC8">
      <w:r>
        <w:separator/>
      </w:r>
    </w:p>
  </w:endnote>
  <w:endnote w:type="continuationSeparator" w:id="0">
    <w:p w14:paraId="3E3BB6A5" w14:textId="77777777" w:rsidR="00047D95" w:rsidRDefault="00047D95" w:rsidP="0062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0BA26" w14:textId="77777777" w:rsidR="00047D95" w:rsidRDefault="00047D95" w:rsidP="00623BC8">
      <w:r>
        <w:separator/>
      </w:r>
    </w:p>
  </w:footnote>
  <w:footnote w:type="continuationSeparator" w:id="0">
    <w:p w14:paraId="3D36C096" w14:textId="77777777" w:rsidR="00047D95" w:rsidRDefault="00047D95" w:rsidP="00623BC8">
      <w:r>
        <w:continuationSeparator/>
      </w:r>
    </w:p>
  </w:footnote>
  <w:footnote w:id="1">
    <w:p w14:paraId="59AAA286" w14:textId="761CB34D" w:rsidR="00623BC8" w:rsidRDefault="00623BC8">
      <w:pPr>
        <w:pStyle w:val="FootnoteText"/>
      </w:pPr>
      <w:r>
        <w:rPr>
          <w:rStyle w:val="FootnoteReference"/>
        </w:rPr>
        <w:footnoteRef/>
      </w:r>
      <w:r>
        <w:t xml:space="preserve"> In the SIR model a fixed population N is divided into susceptible, infected and recovered states: N=S+I+R. </w:t>
      </w:r>
      <w:r w:rsidR="00903BD7">
        <w:t>New The reduction in susceptible equals new inf</w:t>
      </w:r>
      <w:r>
        <w:t xml:space="preserve">ections </w:t>
      </w:r>
      <w:r w:rsidR="00903BD7">
        <w:t xml:space="preserve">which </w:t>
      </w:r>
      <w:r>
        <w:t>occur</w:t>
      </w:r>
      <w:r w:rsidR="00903BD7">
        <w:t>s</w:t>
      </w:r>
      <w:r>
        <w:t xml:space="preserve"> as a constant fraction b of the product of S and the infective share (I/</w:t>
      </w:r>
      <w:r w:rsidR="00903BD7">
        <w:t>N</w:t>
      </w:r>
      <w:r>
        <w:t xml:space="preserve">): </w:t>
      </w:r>
      <w:proofErr w:type="spellStart"/>
      <w:r>
        <w:t>dS</w:t>
      </w:r>
      <w:proofErr w:type="spellEnd"/>
      <w:r>
        <w:t>/</w:t>
      </w:r>
      <w:proofErr w:type="spellStart"/>
      <w:r>
        <w:t>st</w:t>
      </w:r>
      <w:proofErr w:type="spellEnd"/>
      <w:r>
        <w:t xml:space="preserve"> = -</w:t>
      </w:r>
      <w:proofErr w:type="spellStart"/>
      <w:r>
        <w:t>bSI</w:t>
      </w:r>
      <w:proofErr w:type="spellEnd"/>
      <w:r>
        <w:t xml:space="preserve">/N. Those in the infective state evolve with a constant (k) rate of exit: </w:t>
      </w:r>
      <w:proofErr w:type="spellStart"/>
      <w:r>
        <w:t>dI</w:t>
      </w:r>
      <w:proofErr w:type="spellEnd"/>
      <w:r>
        <w:t>/</w:t>
      </w:r>
      <w:proofErr w:type="spellStart"/>
      <w:r>
        <w:t>dt</w:t>
      </w:r>
      <w:proofErr w:type="spellEnd"/>
      <w:r>
        <w:t xml:space="preserve"> = </w:t>
      </w:r>
      <w:proofErr w:type="spellStart"/>
      <w:r>
        <w:t>bSI</w:t>
      </w:r>
      <w:proofErr w:type="spellEnd"/>
      <w:r>
        <w:t xml:space="preserve">/N – </w:t>
      </w:r>
      <w:proofErr w:type="spellStart"/>
      <w:r>
        <w:t>kI</w:t>
      </w:r>
      <w:proofErr w:type="spellEnd"/>
      <w:r>
        <w:t xml:space="preserve">. This system of 2 differential equations is solved and the recovered population is obtained as </w:t>
      </w:r>
      <w:proofErr w:type="spellStart"/>
      <w:r>
        <w:t>dR</w:t>
      </w:r>
      <w:proofErr w:type="spellEnd"/>
      <w:r>
        <w:t>/</w:t>
      </w:r>
      <w:proofErr w:type="spellStart"/>
      <w:r>
        <w:t>dt</w:t>
      </w:r>
      <w:proofErr w:type="spellEnd"/>
      <w:r>
        <w:t xml:space="preserve"> = -</w:t>
      </w:r>
      <w:proofErr w:type="spellStart"/>
      <w:r>
        <w:t>kI</w:t>
      </w:r>
      <w:proofErr w:type="spellEnd"/>
      <w:r>
        <w:t xml:space="preserve">. </w:t>
      </w:r>
    </w:p>
    <w:p w14:paraId="4617973E" w14:textId="047C103D" w:rsidR="00903BD7" w:rsidRDefault="00903BD7">
      <w:pPr>
        <w:pStyle w:val="FootnoteText"/>
      </w:pPr>
      <w:r>
        <w:t>See Appendix 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5FF"/>
    <w:multiLevelType w:val="hybridMultilevel"/>
    <w:tmpl w:val="36A234D0"/>
    <w:lvl w:ilvl="0" w:tplc="04090001">
      <w:start w:val="1"/>
      <w:numFmt w:val="bullet"/>
      <w:lvlText w:val=""/>
      <w:lvlJc w:val="left"/>
      <w:pPr>
        <w:tabs>
          <w:tab w:val="num" w:pos="2520"/>
        </w:tabs>
        <w:ind w:left="2520" w:hanging="360"/>
      </w:pPr>
      <w:rPr>
        <w:rFonts w:ascii="Symbol" w:hAnsi="Symbol" w:hint="default"/>
      </w:rPr>
    </w:lvl>
    <w:lvl w:ilvl="1" w:tplc="04090019" w:tentative="1">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411232D"/>
    <w:multiLevelType w:val="hybridMultilevel"/>
    <w:tmpl w:val="ED7670EC"/>
    <w:lvl w:ilvl="0" w:tplc="E20EF8FE">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719799C"/>
    <w:multiLevelType w:val="hybridMultilevel"/>
    <w:tmpl w:val="14AA3A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F21E6"/>
    <w:multiLevelType w:val="hybridMultilevel"/>
    <w:tmpl w:val="40EC065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2411936"/>
    <w:multiLevelType w:val="hybridMultilevel"/>
    <w:tmpl w:val="E6F61A0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3BDF1C02"/>
    <w:multiLevelType w:val="hybridMultilevel"/>
    <w:tmpl w:val="BAB2E08E"/>
    <w:lvl w:ilvl="0" w:tplc="33FE071A">
      <w:start w:val="1"/>
      <w:numFmt w:val="decimal"/>
      <w:lvlText w:val="%1.)"/>
      <w:lvlJc w:val="left"/>
      <w:pPr>
        <w:tabs>
          <w:tab w:val="num" w:pos="2040"/>
        </w:tabs>
        <w:ind w:left="2040" w:hanging="360"/>
      </w:pPr>
      <w:rPr>
        <w:rFonts w:hint="default"/>
      </w:r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6" w15:restartNumberingAfterBreak="0">
    <w:nsid w:val="49A61EE7"/>
    <w:multiLevelType w:val="hybridMultilevel"/>
    <w:tmpl w:val="867CDE9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D3953EF"/>
    <w:multiLevelType w:val="hybridMultilevel"/>
    <w:tmpl w:val="6574AF5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3F3E65"/>
    <w:multiLevelType w:val="hybridMultilevel"/>
    <w:tmpl w:val="B048386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9" w15:restartNumberingAfterBreak="0">
    <w:nsid w:val="54126EEC"/>
    <w:multiLevelType w:val="hybridMultilevel"/>
    <w:tmpl w:val="A7BA390E"/>
    <w:lvl w:ilvl="0" w:tplc="1798AA30">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5DD575A2"/>
    <w:multiLevelType w:val="hybridMultilevel"/>
    <w:tmpl w:val="C25834B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B0F11"/>
    <w:multiLevelType w:val="hybridMultilevel"/>
    <w:tmpl w:val="7DEEA80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8"/>
  </w:num>
  <w:num w:numId="2">
    <w:abstractNumId w:val="2"/>
  </w:num>
  <w:num w:numId="3">
    <w:abstractNumId w:val="1"/>
  </w:num>
  <w:num w:numId="4">
    <w:abstractNumId w:val="5"/>
  </w:num>
  <w:num w:numId="5">
    <w:abstractNumId w:val="9"/>
  </w:num>
  <w:num w:numId="6">
    <w:abstractNumId w:val="3"/>
  </w:num>
  <w:num w:numId="7">
    <w:abstractNumId w:val="7"/>
  </w:num>
  <w:num w:numId="8">
    <w:abstractNumId w:val="0"/>
  </w:num>
  <w:num w:numId="9">
    <w:abstractNumId w:val="4"/>
  </w:num>
  <w:num w:numId="10">
    <w:abstractNumId w:val="1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1B"/>
    <w:rsid w:val="00006996"/>
    <w:rsid w:val="0001009D"/>
    <w:rsid w:val="00014475"/>
    <w:rsid w:val="000154E0"/>
    <w:rsid w:val="00015F7E"/>
    <w:rsid w:val="00020451"/>
    <w:rsid w:val="00030B27"/>
    <w:rsid w:val="000321CC"/>
    <w:rsid w:val="000322E1"/>
    <w:rsid w:val="0003232A"/>
    <w:rsid w:val="00036E5A"/>
    <w:rsid w:val="00042619"/>
    <w:rsid w:val="00046983"/>
    <w:rsid w:val="00047D95"/>
    <w:rsid w:val="00055D5E"/>
    <w:rsid w:val="00056D0E"/>
    <w:rsid w:val="00060EC0"/>
    <w:rsid w:val="00061CB9"/>
    <w:rsid w:val="00065034"/>
    <w:rsid w:val="0006638D"/>
    <w:rsid w:val="00066E40"/>
    <w:rsid w:val="00070511"/>
    <w:rsid w:val="0007772D"/>
    <w:rsid w:val="000806D4"/>
    <w:rsid w:val="00081B9B"/>
    <w:rsid w:val="000914F3"/>
    <w:rsid w:val="00092C05"/>
    <w:rsid w:val="00093C4F"/>
    <w:rsid w:val="0009531B"/>
    <w:rsid w:val="000A0BC1"/>
    <w:rsid w:val="000A45F7"/>
    <w:rsid w:val="000A7202"/>
    <w:rsid w:val="000A7733"/>
    <w:rsid w:val="000B4766"/>
    <w:rsid w:val="000B4802"/>
    <w:rsid w:val="000B4FF9"/>
    <w:rsid w:val="000B6EB4"/>
    <w:rsid w:val="000C1EC0"/>
    <w:rsid w:val="000C2605"/>
    <w:rsid w:val="000C2D0F"/>
    <w:rsid w:val="000D2326"/>
    <w:rsid w:val="000D2856"/>
    <w:rsid w:val="000D2CC0"/>
    <w:rsid w:val="000D3911"/>
    <w:rsid w:val="000E406F"/>
    <w:rsid w:val="000E5EF3"/>
    <w:rsid w:val="000E7738"/>
    <w:rsid w:val="000F0B11"/>
    <w:rsid w:val="000F7201"/>
    <w:rsid w:val="001003EA"/>
    <w:rsid w:val="00102227"/>
    <w:rsid w:val="0010351B"/>
    <w:rsid w:val="001069A3"/>
    <w:rsid w:val="00106B7F"/>
    <w:rsid w:val="00110548"/>
    <w:rsid w:val="0011292F"/>
    <w:rsid w:val="001146CD"/>
    <w:rsid w:val="00120A38"/>
    <w:rsid w:val="00121F85"/>
    <w:rsid w:val="001238EE"/>
    <w:rsid w:val="00124F14"/>
    <w:rsid w:val="00127565"/>
    <w:rsid w:val="001319B6"/>
    <w:rsid w:val="00134FCA"/>
    <w:rsid w:val="00136BFA"/>
    <w:rsid w:val="00137C2E"/>
    <w:rsid w:val="00140A96"/>
    <w:rsid w:val="00140DDA"/>
    <w:rsid w:val="001451CC"/>
    <w:rsid w:val="00150311"/>
    <w:rsid w:val="001554B9"/>
    <w:rsid w:val="001656EF"/>
    <w:rsid w:val="00165E00"/>
    <w:rsid w:val="0017170D"/>
    <w:rsid w:val="001832A9"/>
    <w:rsid w:val="001959E8"/>
    <w:rsid w:val="001972B0"/>
    <w:rsid w:val="001A4A1B"/>
    <w:rsid w:val="001B6DBE"/>
    <w:rsid w:val="001B744A"/>
    <w:rsid w:val="001C0DF0"/>
    <w:rsid w:val="001C4219"/>
    <w:rsid w:val="001C5F41"/>
    <w:rsid w:val="001D00AE"/>
    <w:rsid w:val="001E0AF4"/>
    <w:rsid w:val="001E7C0A"/>
    <w:rsid w:val="001F306C"/>
    <w:rsid w:val="001F4521"/>
    <w:rsid w:val="001F4C13"/>
    <w:rsid w:val="001F5BA5"/>
    <w:rsid w:val="002106EB"/>
    <w:rsid w:val="00216356"/>
    <w:rsid w:val="0021775A"/>
    <w:rsid w:val="002213E5"/>
    <w:rsid w:val="00234D6F"/>
    <w:rsid w:val="00242A53"/>
    <w:rsid w:val="00251145"/>
    <w:rsid w:val="0025380A"/>
    <w:rsid w:val="002545AB"/>
    <w:rsid w:val="0025577C"/>
    <w:rsid w:val="00255BC6"/>
    <w:rsid w:val="00262A7D"/>
    <w:rsid w:val="0026327D"/>
    <w:rsid w:val="00264D39"/>
    <w:rsid w:val="00270971"/>
    <w:rsid w:val="00272852"/>
    <w:rsid w:val="00284D57"/>
    <w:rsid w:val="0028668F"/>
    <w:rsid w:val="00297276"/>
    <w:rsid w:val="002979F1"/>
    <w:rsid w:val="002A4BDC"/>
    <w:rsid w:val="002A50F2"/>
    <w:rsid w:val="002A5102"/>
    <w:rsid w:val="002A7200"/>
    <w:rsid w:val="002A7DC2"/>
    <w:rsid w:val="002B5B21"/>
    <w:rsid w:val="002C2D6D"/>
    <w:rsid w:val="002D3C27"/>
    <w:rsid w:val="002D61E6"/>
    <w:rsid w:val="002E0402"/>
    <w:rsid w:val="002E359B"/>
    <w:rsid w:val="002E4F7A"/>
    <w:rsid w:val="002E56F3"/>
    <w:rsid w:val="002E750A"/>
    <w:rsid w:val="002F15A8"/>
    <w:rsid w:val="002F5CEC"/>
    <w:rsid w:val="00300D55"/>
    <w:rsid w:val="003030FD"/>
    <w:rsid w:val="00312E8C"/>
    <w:rsid w:val="00313DA2"/>
    <w:rsid w:val="0031422B"/>
    <w:rsid w:val="00314E34"/>
    <w:rsid w:val="00315718"/>
    <w:rsid w:val="00321995"/>
    <w:rsid w:val="0033424C"/>
    <w:rsid w:val="00341E6F"/>
    <w:rsid w:val="003422E4"/>
    <w:rsid w:val="00343786"/>
    <w:rsid w:val="00345707"/>
    <w:rsid w:val="0036588D"/>
    <w:rsid w:val="00375E41"/>
    <w:rsid w:val="00377238"/>
    <w:rsid w:val="00381B1D"/>
    <w:rsid w:val="00384487"/>
    <w:rsid w:val="00387CCE"/>
    <w:rsid w:val="003900AB"/>
    <w:rsid w:val="00392A1F"/>
    <w:rsid w:val="0039313F"/>
    <w:rsid w:val="00393BB1"/>
    <w:rsid w:val="003A1273"/>
    <w:rsid w:val="003B454D"/>
    <w:rsid w:val="003B75A4"/>
    <w:rsid w:val="003C0376"/>
    <w:rsid w:val="003C4FE0"/>
    <w:rsid w:val="003D23F1"/>
    <w:rsid w:val="003E3101"/>
    <w:rsid w:val="003E391A"/>
    <w:rsid w:val="003E418E"/>
    <w:rsid w:val="00401504"/>
    <w:rsid w:val="00405212"/>
    <w:rsid w:val="00425C4E"/>
    <w:rsid w:val="00426168"/>
    <w:rsid w:val="00426F47"/>
    <w:rsid w:val="00431320"/>
    <w:rsid w:val="00432E39"/>
    <w:rsid w:val="00437BF1"/>
    <w:rsid w:val="00440798"/>
    <w:rsid w:val="00442D73"/>
    <w:rsid w:val="0044681B"/>
    <w:rsid w:val="004475CA"/>
    <w:rsid w:val="004539D6"/>
    <w:rsid w:val="00454173"/>
    <w:rsid w:val="00457632"/>
    <w:rsid w:val="00457984"/>
    <w:rsid w:val="00463A78"/>
    <w:rsid w:val="00466AA0"/>
    <w:rsid w:val="00470D3C"/>
    <w:rsid w:val="00470EA3"/>
    <w:rsid w:val="00471421"/>
    <w:rsid w:val="00484EE6"/>
    <w:rsid w:val="00485349"/>
    <w:rsid w:val="0048633E"/>
    <w:rsid w:val="00486AC0"/>
    <w:rsid w:val="00486AE2"/>
    <w:rsid w:val="00491905"/>
    <w:rsid w:val="004A4A82"/>
    <w:rsid w:val="004A567A"/>
    <w:rsid w:val="004A6C64"/>
    <w:rsid w:val="004A7218"/>
    <w:rsid w:val="004A7FDF"/>
    <w:rsid w:val="004B1B35"/>
    <w:rsid w:val="004B2424"/>
    <w:rsid w:val="004B4854"/>
    <w:rsid w:val="004B6ECF"/>
    <w:rsid w:val="004C0533"/>
    <w:rsid w:val="004C2B9F"/>
    <w:rsid w:val="004C2DB9"/>
    <w:rsid w:val="004D16FD"/>
    <w:rsid w:val="004D507C"/>
    <w:rsid w:val="004D5CBD"/>
    <w:rsid w:val="004E17CA"/>
    <w:rsid w:val="004E4E1A"/>
    <w:rsid w:val="004E57B0"/>
    <w:rsid w:val="004F1364"/>
    <w:rsid w:val="004F274C"/>
    <w:rsid w:val="004F67E4"/>
    <w:rsid w:val="005060EA"/>
    <w:rsid w:val="00506EBB"/>
    <w:rsid w:val="00513731"/>
    <w:rsid w:val="00513A7D"/>
    <w:rsid w:val="0051581E"/>
    <w:rsid w:val="005177C9"/>
    <w:rsid w:val="00537B3A"/>
    <w:rsid w:val="00540ECD"/>
    <w:rsid w:val="00544201"/>
    <w:rsid w:val="005538AE"/>
    <w:rsid w:val="005539D2"/>
    <w:rsid w:val="00563040"/>
    <w:rsid w:val="00564491"/>
    <w:rsid w:val="00564C6A"/>
    <w:rsid w:val="00571AED"/>
    <w:rsid w:val="00577A2B"/>
    <w:rsid w:val="00586231"/>
    <w:rsid w:val="00586FA0"/>
    <w:rsid w:val="00590694"/>
    <w:rsid w:val="005909B4"/>
    <w:rsid w:val="00591DE6"/>
    <w:rsid w:val="00592092"/>
    <w:rsid w:val="00593C31"/>
    <w:rsid w:val="005979AA"/>
    <w:rsid w:val="005A1545"/>
    <w:rsid w:val="005A1CD0"/>
    <w:rsid w:val="005A7628"/>
    <w:rsid w:val="005B04E5"/>
    <w:rsid w:val="005B20A9"/>
    <w:rsid w:val="005B2B0C"/>
    <w:rsid w:val="005B2BE8"/>
    <w:rsid w:val="005B5BB7"/>
    <w:rsid w:val="005C5A8F"/>
    <w:rsid w:val="005E63FE"/>
    <w:rsid w:val="005E78E6"/>
    <w:rsid w:val="005F2589"/>
    <w:rsid w:val="005F27BD"/>
    <w:rsid w:val="005F3AD8"/>
    <w:rsid w:val="005F5AFF"/>
    <w:rsid w:val="005F7D38"/>
    <w:rsid w:val="005F7DFE"/>
    <w:rsid w:val="00603884"/>
    <w:rsid w:val="00603977"/>
    <w:rsid w:val="00606A13"/>
    <w:rsid w:val="006115F3"/>
    <w:rsid w:val="006117C2"/>
    <w:rsid w:val="00620ED4"/>
    <w:rsid w:val="00622E3A"/>
    <w:rsid w:val="00623BC8"/>
    <w:rsid w:val="00624A03"/>
    <w:rsid w:val="0062525D"/>
    <w:rsid w:val="00634FCF"/>
    <w:rsid w:val="0064046A"/>
    <w:rsid w:val="00647353"/>
    <w:rsid w:val="00657A4B"/>
    <w:rsid w:val="00661FDF"/>
    <w:rsid w:val="00663048"/>
    <w:rsid w:val="006642B2"/>
    <w:rsid w:val="006648C2"/>
    <w:rsid w:val="006655E2"/>
    <w:rsid w:val="00665A5A"/>
    <w:rsid w:val="00674088"/>
    <w:rsid w:val="00675A6A"/>
    <w:rsid w:val="00686F85"/>
    <w:rsid w:val="00687A38"/>
    <w:rsid w:val="00692E61"/>
    <w:rsid w:val="00694013"/>
    <w:rsid w:val="00694496"/>
    <w:rsid w:val="006948ED"/>
    <w:rsid w:val="0069501B"/>
    <w:rsid w:val="0069732E"/>
    <w:rsid w:val="006A48AE"/>
    <w:rsid w:val="006A59E7"/>
    <w:rsid w:val="006B08A8"/>
    <w:rsid w:val="006B0E7D"/>
    <w:rsid w:val="006B4068"/>
    <w:rsid w:val="006B6D26"/>
    <w:rsid w:val="006B6D69"/>
    <w:rsid w:val="006B79F0"/>
    <w:rsid w:val="006C3B5C"/>
    <w:rsid w:val="006C4C44"/>
    <w:rsid w:val="006C7062"/>
    <w:rsid w:val="006C7126"/>
    <w:rsid w:val="006D0A91"/>
    <w:rsid w:val="006D333D"/>
    <w:rsid w:val="006D4E5F"/>
    <w:rsid w:val="006D628D"/>
    <w:rsid w:val="006D6902"/>
    <w:rsid w:val="006D7BE0"/>
    <w:rsid w:val="006F0398"/>
    <w:rsid w:val="006F2734"/>
    <w:rsid w:val="006F3750"/>
    <w:rsid w:val="006F4194"/>
    <w:rsid w:val="006F563B"/>
    <w:rsid w:val="006F6A09"/>
    <w:rsid w:val="007018A5"/>
    <w:rsid w:val="00702E21"/>
    <w:rsid w:val="0070631F"/>
    <w:rsid w:val="007066D7"/>
    <w:rsid w:val="00706744"/>
    <w:rsid w:val="00716689"/>
    <w:rsid w:val="007202D6"/>
    <w:rsid w:val="0072084A"/>
    <w:rsid w:val="00720D3F"/>
    <w:rsid w:val="00727A78"/>
    <w:rsid w:val="00731002"/>
    <w:rsid w:val="00732906"/>
    <w:rsid w:val="0073587A"/>
    <w:rsid w:val="007420B7"/>
    <w:rsid w:val="00743B54"/>
    <w:rsid w:val="00746366"/>
    <w:rsid w:val="00746E1F"/>
    <w:rsid w:val="007512F2"/>
    <w:rsid w:val="0075202B"/>
    <w:rsid w:val="00754D07"/>
    <w:rsid w:val="00760B8C"/>
    <w:rsid w:val="007622FA"/>
    <w:rsid w:val="00762A01"/>
    <w:rsid w:val="00762E45"/>
    <w:rsid w:val="007646CF"/>
    <w:rsid w:val="00770D50"/>
    <w:rsid w:val="00773DDB"/>
    <w:rsid w:val="007742AA"/>
    <w:rsid w:val="00776380"/>
    <w:rsid w:val="00782F18"/>
    <w:rsid w:val="0078343D"/>
    <w:rsid w:val="00792609"/>
    <w:rsid w:val="007952BD"/>
    <w:rsid w:val="00795605"/>
    <w:rsid w:val="007A0046"/>
    <w:rsid w:val="007A2264"/>
    <w:rsid w:val="007A2F74"/>
    <w:rsid w:val="007B0DF3"/>
    <w:rsid w:val="007B5B5E"/>
    <w:rsid w:val="007B5FA7"/>
    <w:rsid w:val="007B6997"/>
    <w:rsid w:val="007C5520"/>
    <w:rsid w:val="007C5D09"/>
    <w:rsid w:val="007C682A"/>
    <w:rsid w:val="007D183C"/>
    <w:rsid w:val="007D4E31"/>
    <w:rsid w:val="007F22AD"/>
    <w:rsid w:val="007F28C0"/>
    <w:rsid w:val="00800266"/>
    <w:rsid w:val="00805E9B"/>
    <w:rsid w:val="00807B90"/>
    <w:rsid w:val="00810EE3"/>
    <w:rsid w:val="008125D6"/>
    <w:rsid w:val="008140A5"/>
    <w:rsid w:val="008151F9"/>
    <w:rsid w:val="008163AD"/>
    <w:rsid w:val="00816643"/>
    <w:rsid w:val="00820070"/>
    <w:rsid w:val="00821494"/>
    <w:rsid w:val="008321F2"/>
    <w:rsid w:val="00833C31"/>
    <w:rsid w:val="00834B50"/>
    <w:rsid w:val="00840365"/>
    <w:rsid w:val="0084091C"/>
    <w:rsid w:val="00842842"/>
    <w:rsid w:val="00843FC1"/>
    <w:rsid w:val="008500B1"/>
    <w:rsid w:val="00850319"/>
    <w:rsid w:val="008530A2"/>
    <w:rsid w:val="00853788"/>
    <w:rsid w:val="00857FD8"/>
    <w:rsid w:val="00860ECF"/>
    <w:rsid w:val="0086140B"/>
    <w:rsid w:val="008635A3"/>
    <w:rsid w:val="00872E80"/>
    <w:rsid w:val="008731F0"/>
    <w:rsid w:val="0089055E"/>
    <w:rsid w:val="00891CE4"/>
    <w:rsid w:val="0089471C"/>
    <w:rsid w:val="00894F43"/>
    <w:rsid w:val="008A19A1"/>
    <w:rsid w:val="008A257B"/>
    <w:rsid w:val="008A5DF6"/>
    <w:rsid w:val="008A7DD9"/>
    <w:rsid w:val="008A7F9F"/>
    <w:rsid w:val="008B0EE2"/>
    <w:rsid w:val="008B1CF2"/>
    <w:rsid w:val="008B2C1D"/>
    <w:rsid w:val="008B6871"/>
    <w:rsid w:val="008B7FC5"/>
    <w:rsid w:val="008C30D3"/>
    <w:rsid w:val="008C3244"/>
    <w:rsid w:val="008C48EC"/>
    <w:rsid w:val="008C7A7A"/>
    <w:rsid w:val="008D226D"/>
    <w:rsid w:val="008D27D7"/>
    <w:rsid w:val="008D7060"/>
    <w:rsid w:val="008E06D6"/>
    <w:rsid w:val="008E7503"/>
    <w:rsid w:val="008F0736"/>
    <w:rsid w:val="008F17E7"/>
    <w:rsid w:val="008F186E"/>
    <w:rsid w:val="008F1FDF"/>
    <w:rsid w:val="008F33B9"/>
    <w:rsid w:val="008F79A9"/>
    <w:rsid w:val="009001D1"/>
    <w:rsid w:val="00903BD7"/>
    <w:rsid w:val="00910DD5"/>
    <w:rsid w:val="00915768"/>
    <w:rsid w:val="009169C5"/>
    <w:rsid w:val="00916C00"/>
    <w:rsid w:val="00931996"/>
    <w:rsid w:val="009326BD"/>
    <w:rsid w:val="0093452E"/>
    <w:rsid w:val="009359C2"/>
    <w:rsid w:val="00940194"/>
    <w:rsid w:val="00944614"/>
    <w:rsid w:val="00955084"/>
    <w:rsid w:val="00956CAB"/>
    <w:rsid w:val="00960070"/>
    <w:rsid w:val="00961BF0"/>
    <w:rsid w:val="00964F16"/>
    <w:rsid w:val="00965FE4"/>
    <w:rsid w:val="00970168"/>
    <w:rsid w:val="00971466"/>
    <w:rsid w:val="0098013D"/>
    <w:rsid w:val="009817C4"/>
    <w:rsid w:val="00983D76"/>
    <w:rsid w:val="00990996"/>
    <w:rsid w:val="00990B5C"/>
    <w:rsid w:val="00992D44"/>
    <w:rsid w:val="00993C10"/>
    <w:rsid w:val="009A69AD"/>
    <w:rsid w:val="009B4655"/>
    <w:rsid w:val="009B518A"/>
    <w:rsid w:val="009B66AE"/>
    <w:rsid w:val="009B72BA"/>
    <w:rsid w:val="009C62E2"/>
    <w:rsid w:val="009D0774"/>
    <w:rsid w:val="009D30FA"/>
    <w:rsid w:val="009D4CC0"/>
    <w:rsid w:val="009D793A"/>
    <w:rsid w:val="009E079F"/>
    <w:rsid w:val="009E6641"/>
    <w:rsid w:val="00A027EF"/>
    <w:rsid w:val="00A06371"/>
    <w:rsid w:val="00A209C0"/>
    <w:rsid w:val="00A26BAA"/>
    <w:rsid w:val="00A31E97"/>
    <w:rsid w:val="00A37035"/>
    <w:rsid w:val="00A50AC7"/>
    <w:rsid w:val="00A51242"/>
    <w:rsid w:val="00A5342B"/>
    <w:rsid w:val="00A54CC8"/>
    <w:rsid w:val="00A54CFB"/>
    <w:rsid w:val="00A63017"/>
    <w:rsid w:val="00A64529"/>
    <w:rsid w:val="00A66A90"/>
    <w:rsid w:val="00A678E6"/>
    <w:rsid w:val="00A704F6"/>
    <w:rsid w:val="00A81681"/>
    <w:rsid w:val="00A84AC8"/>
    <w:rsid w:val="00A9199B"/>
    <w:rsid w:val="00A953BF"/>
    <w:rsid w:val="00A9544C"/>
    <w:rsid w:val="00AA236D"/>
    <w:rsid w:val="00AA3E43"/>
    <w:rsid w:val="00AB4999"/>
    <w:rsid w:val="00AC2118"/>
    <w:rsid w:val="00AC2BF4"/>
    <w:rsid w:val="00AC5C2F"/>
    <w:rsid w:val="00AC7251"/>
    <w:rsid w:val="00AD51F2"/>
    <w:rsid w:val="00AE536D"/>
    <w:rsid w:val="00AE6C02"/>
    <w:rsid w:val="00AF2CD7"/>
    <w:rsid w:val="00AF7D5A"/>
    <w:rsid w:val="00B1086A"/>
    <w:rsid w:val="00B12326"/>
    <w:rsid w:val="00B15788"/>
    <w:rsid w:val="00B224F8"/>
    <w:rsid w:val="00B24C2F"/>
    <w:rsid w:val="00B256C6"/>
    <w:rsid w:val="00B3703C"/>
    <w:rsid w:val="00B375DF"/>
    <w:rsid w:val="00B44992"/>
    <w:rsid w:val="00B44ED3"/>
    <w:rsid w:val="00B4550F"/>
    <w:rsid w:val="00B55370"/>
    <w:rsid w:val="00B7273E"/>
    <w:rsid w:val="00B728EF"/>
    <w:rsid w:val="00B729CF"/>
    <w:rsid w:val="00B73EDE"/>
    <w:rsid w:val="00B74E08"/>
    <w:rsid w:val="00B74F51"/>
    <w:rsid w:val="00B81871"/>
    <w:rsid w:val="00B87746"/>
    <w:rsid w:val="00B96F0F"/>
    <w:rsid w:val="00BB4103"/>
    <w:rsid w:val="00BB41FF"/>
    <w:rsid w:val="00BB6AD0"/>
    <w:rsid w:val="00BB6F54"/>
    <w:rsid w:val="00BB76A1"/>
    <w:rsid w:val="00BC1778"/>
    <w:rsid w:val="00BD0DD3"/>
    <w:rsid w:val="00BD2AD9"/>
    <w:rsid w:val="00BE34D4"/>
    <w:rsid w:val="00BE49B2"/>
    <w:rsid w:val="00BE6671"/>
    <w:rsid w:val="00BF0B02"/>
    <w:rsid w:val="00BF1931"/>
    <w:rsid w:val="00BF2773"/>
    <w:rsid w:val="00BF5159"/>
    <w:rsid w:val="00C01A02"/>
    <w:rsid w:val="00C032B0"/>
    <w:rsid w:val="00C10B54"/>
    <w:rsid w:val="00C176FD"/>
    <w:rsid w:val="00C212CD"/>
    <w:rsid w:val="00C23582"/>
    <w:rsid w:val="00C23A76"/>
    <w:rsid w:val="00C24A6A"/>
    <w:rsid w:val="00C25DFE"/>
    <w:rsid w:val="00C263BE"/>
    <w:rsid w:val="00C3313B"/>
    <w:rsid w:val="00C36F0D"/>
    <w:rsid w:val="00C453AE"/>
    <w:rsid w:val="00C460F2"/>
    <w:rsid w:val="00C51945"/>
    <w:rsid w:val="00C51BC9"/>
    <w:rsid w:val="00C53236"/>
    <w:rsid w:val="00C71533"/>
    <w:rsid w:val="00C731EE"/>
    <w:rsid w:val="00C748B4"/>
    <w:rsid w:val="00C84854"/>
    <w:rsid w:val="00C86839"/>
    <w:rsid w:val="00C97066"/>
    <w:rsid w:val="00C97BC0"/>
    <w:rsid w:val="00CA364D"/>
    <w:rsid w:val="00CA534D"/>
    <w:rsid w:val="00CB1477"/>
    <w:rsid w:val="00CB5A7A"/>
    <w:rsid w:val="00CB7CBD"/>
    <w:rsid w:val="00CC32A7"/>
    <w:rsid w:val="00CC3E28"/>
    <w:rsid w:val="00CC40B7"/>
    <w:rsid w:val="00CD1737"/>
    <w:rsid w:val="00CD394E"/>
    <w:rsid w:val="00CD4C1B"/>
    <w:rsid w:val="00CD6F78"/>
    <w:rsid w:val="00CE5DBD"/>
    <w:rsid w:val="00CE72FA"/>
    <w:rsid w:val="00CF2FCC"/>
    <w:rsid w:val="00D036BF"/>
    <w:rsid w:val="00D0409D"/>
    <w:rsid w:val="00D10CA8"/>
    <w:rsid w:val="00D1274A"/>
    <w:rsid w:val="00D1471F"/>
    <w:rsid w:val="00D20D3E"/>
    <w:rsid w:val="00D273B4"/>
    <w:rsid w:val="00D313FB"/>
    <w:rsid w:val="00D339EF"/>
    <w:rsid w:val="00D3534A"/>
    <w:rsid w:val="00D404CE"/>
    <w:rsid w:val="00D41127"/>
    <w:rsid w:val="00D42526"/>
    <w:rsid w:val="00D47F8D"/>
    <w:rsid w:val="00D5381A"/>
    <w:rsid w:val="00D54274"/>
    <w:rsid w:val="00D558AB"/>
    <w:rsid w:val="00D7130B"/>
    <w:rsid w:val="00D7372B"/>
    <w:rsid w:val="00D74DD8"/>
    <w:rsid w:val="00D779A9"/>
    <w:rsid w:val="00D77AFD"/>
    <w:rsid w:val="00D77B90"/>
    <w:rsid w:val="00D824C6"/>
    <w:rsid w:val="00D82FD1"/>
    <w:rsid w:val="00D83037"/>
    <w:rsid w:val="00D83F8E"/>
    <w:rsid w:val="00D94458"/>
    <w:rsid w:val="00D95113"/>
    <w:rsid w:val="00DA386D"/>
    <w:rsid w:val="00DC09B8"/>
    <w:rsid w:val="00DC5C34"/>
    <w:rsid w:val="00DD5583"/>
    <w:rsid w:val="00DD61BC"/>
    <w:rsid w:val="00DD74AE"/>
    <w:rsid w:val="00DD785C"/>
    <w:rsid w:val="00DE2479"/>
    <w:rsid w:val="00DE4C26"/>
    <w:rsid w:val="00DF11C3"/>
    <w:rsid w:val="00DF3CF0"/>
    <w:rsid w:val="00DF59BE"/>
    <w:rsid w:val="00DF5B63"/>
    <w:rsid w:val="00E07EC5"/>
    <w:rsid w:val="00E14B4A"/>
    <w:rsid w:val="00E15512"/>
    <w:rsid w:val="00E33BD4"/>
    <w:rsid w:val="00E33BFC"/>
    <w:rsid w:val="00E33DF9"/>
    <w:rsid w:val="00E458F9"/>
    <w:rsid w:val="00E53D59"/>
    <w:rsid w:val="00E546FE"/>
    <w:rsid w:val="00E57202"/>
    <w:rsid w:val="00E65BEF"/>
    <w:rsid w:val="00E664F1"/>
    <w:rsid w:val="00E73BCF"/>
    <w:rsid w:val="00E9588F"/>
    <w:rsid w:val="00EB4D8D"/>
    <w:rsid w:val="00EB641D"/>
    <w:rsid w:val="00ED4108"/>
    <w:rsid w:val="00ED5D69"/>
    <w:rsid w:val="00EE3DF2"/>
    <w:rsid w:val="00EF3609"/>
    <w:rsid w:val="00EF37ED"/>
    <w:rsid w:val="00EF4467"/>
    <w:rsid w:val="00F0035E"/>
    <w:rsid w:val="00F00D95"/>
    <w:rsid w:val="00F01661"/>
    <w:rsid w:val="00F06727"/>
    <w:rsid w:val="00F30DF8"/>
    <w:rsid w:val="00F3662D"/>
    <w:rsid w:val="00F41E2B"/>
    <w:rsid w:val="00F44C44"/>
    <w:rsid w:val="00F62576"/>
    <w:rsid w:val="00F672CF"/>
    <w:rsid w:val="00F726D6"/>
    <w:rsid w:val="00F73495"/>
    <w:rsid w:val="00F74644"/>
    <w:rsid w:val="00F76F46"/>
    <w:rsid w:val="00F801AA"/>
    <w:rsid w:val="00F824A6"/>
    <w:rsid w:val="00F84184"/>
    <w:rsid w:val="00F84449"/>
    <w:rsid w:val="00F96ADA"/>
    <w:rsid w:val="00FA5E4D"/>
    <w:rsid w:val="00FA5F8E"/>
    <w:rsid w:val="00FB022C"/>
    <w:rsid w:val="00FB1A00"/>
    <w:rsid w:val="00FB29B4"/>
    <w:rsid w:val="00FB767B"/>
    <w:rsid w:val="00FB7F08"/>
    <w:rsid w:val="00FC5109"/>
    <w:rsid w:val="00FD0BB3"/>
    <w:rsid w:val="00FD54A5"/>
    <w:rsid w:val="00FD71A8"/>
    <w:rsid w:val="00FE6A61"/>
    <w:rsid w:val="00FF313D"/>
    <w:rsid w:val="00FF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577B0"/>
  <w15:docId w15:val="{45074EA8-8E83-4F90-9209-894A7BFF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518A"/>
    <w:rPr>
      <w:rFonts w:ascii="Tahoma" w:hAnsi="Tahoma" w:cs="Tahoma"/>
      <w:sz w:val="16"/>
      <w:szCs w:val="16"/>
    </w:rPr>
  </w:style>
  <w:style w:type="character" w:styleId="Hyperlink">
    <w:name w:val="Hyperlink"/>
    <w:uiPriority w:val="99"/>
    <w:unhideWhenUsed/>
    <w:rsid w:val="006A59E7"/>
    <w:rPr>
      <w:color w:val="0000FF"/>
      <w:u w:val="single"/>
    </w:rPr>
  </w:style>
  <w:style w:type="paragraph" w:styleId="BodyText">
    <w:name w:val="Body Text"/>
    <w:basedOn w:val="Normal"/>
    <w:link w:val="BodyTextChar"/>
    <w:uiPriority w:val="1"/>
    <w:unhideWhenUsed/>
    <w:qFormat/>
    <w:rsid w:val="006A59E7"/>
    <w:pPr>
      <w:jc w:val="center"/>
    </w:pPr>
    <w:rPr>
      <w:b/>
      <w:bCs/>
      <w:sz w:val="40"/>
    </w:rPr>
  </w:style>
  <w:style w:type="character" w:customStyle="1" w:styleId="BodyTextChar">
    <w:name w:val="Body Text Char"/>
    <w:link w:val="BodyText"/>
    <w:uiPriority w:val="1"/>
    <w:rsid w:val="006A59E7"/>
    <w:rPr>
      <w:b/>
      <w:bCs/>
      <w:sz w:val="40"/>
      <w:szCs w:val="24"/>
    </w:rPr>
  </w:style>
  <w:style w:type="numbering" w:customStyle="1" w:styleId="NoList1">
    <w:name w:val="No List1"/>
    <w:next w:val="NoList"/>
    <w:uiPriority w:val="99"/>
    <w:semiHidden/>
    <w:unhideWhenUsed/>
    <w:rsid w:val="00AD51F2"/>
  </w:style>
  <w:style w:type="paragraph" w:styleId="ListParagraph">
    <w:name w:val="List Paragraph"/>
    <w:basedOn w:val="Normal"/>
    <w:uiPriority w:val="1"/>
    <w:qFormat/>
    <w:rsid w:val="00AD51F2"/>
    <w:pPr>
      <w:autoSpaceDE w:val="0"/>
      <w:autoSpaceDN w:val="0"/>
      <w:adjustRightInd w:val="0"/>
    </w:pPr>
  </w:style>
  <w:style w:type="paragraph" w:customStyle="1" w:styleId="TableParagraph">
    <w:name w:val="Table Paragraph"/>
    <w:basedOn w:val="Normal"/>
    <w:uiPriority w:val="1"/>
    <w:qFormat/>
    <w:rsid w:val="00AD51F2"/>
    <w:pPr>
      <w:autoSpaceDE w:val="0"/>
      <w:autoSpaceDN w:val="0"/>
      <w:adjustRightInd w:val="0"/>
    </w:pPr>
  </w:style>
  <w:style w:type="numbering" w:customStyle="1" w:styleId="NoList2">
    <w:name w:val="No List2"/>
    <w:next w:val="NoList"/>
    <w:uiPriority w:val="99"/>
    <w:semiHidden/>
    <w:unhideWhenUsed/>
    <w:rsid w:val="005C5A8F"/>
  </w:style>
  <w:style w:type="character" w:styleId="PlaceholderText">
    <w:name w:val="Placeholder Text"/>
    <w:basedOn w:val="DefaultParagraphFont"/>
    <w:uiPriority w:val="99"/>
    <w:semiHidden/>
    <w:rsid w:val="002D3C27"/>
    <w:rPr>
      <w:color w:val="808080"/>
    </w:rPr>
  </w:style>
  <w:style w:type="table" w:styleId="TableGrid">
    <w:name w:val="Table Grid"/>
    <w:basedOn w:val="TableNormal"/>
    <w:rsid w:val="00564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D779A9"/>
    <w:rPr>
      <w:color w:val="800080" w:themeColor="followedHyperlink"/>
      <w:u w:val="single"/>
    </w:rPr>
  </w:style>
  <w:style w:type="character" w:styleId="CommentReference">
    <w:name w:val="annotation reference"/>
    <w:basedOn w:val="DefaultParagraphFont"/>
    <w:semiHidden/>
    <w:unhideWhenUsed/>
    <w:rsid w:val="00702E21"/>
    <w:rPr>
      <w:sz w:val="16"/>
      <w:szCs w:val="16"/>
    </w:rPr>
  </w:style>
  <w:style w:type="paragraph" w:styleId="CommentText">
    <w:name w:val="annotation text"/>
    <w:basedOn w:val="Normal"/>
    <w:link w:val="CommentTextChar"/>
    <w:semiHidden/>
    <w:unhideWhenUsed/>
    <w:rsid w:val="00702E21"/>
    <w:rPr>
      <w:sz w:val="20"/>
      <w:szCs w:val="20"/>
    </w:rPr>
  </w:style>
  <w:style w:type="character" w:customStyle="1" w:styleId="CommentTextChar">
    <w:name w:val="Comment Text Char"/>
    <w:basedOn w:val="DefaultParagraphFont"/>
    <w:link w:val="CommentText"/>
    <w:semiHidden/>
    <w:rsid w:val="00702E21"/>
  </w:style>
  <w:style w:type="paragraph" w:styleId="CommentSubject">
    <w:name w:val="annotation subject"/>
    <w:basedOn w:val="CommentText"/>
    <w:next w:val="CommentText"/>
    <w:link w:val="CommentSubjectChar"/>
    <w:semiHidden/>
    <w:unhideWhenUsed/>
    <w:rsid w:val="00702E21"/>
    <w:rPr>
      <w:b/>
      <w:bCs/>
    </w:rPr>
  </w:style>
  <w:style w:type="character" w:customStyle="1" w:styleId="CommentSubjectChar">
    <w:name w:val="Comment Subject Char"/>
    <w:basedOn w:val="CommentTextChar"/>
    <w:link w:val="CommentSubject"/>
    <w:semiHidden/>
    <w:rsid w:val="00702E21"/>
    <w:rPr>
      <w:b/>
      <w:bCs/>
    </w:rPr>
  </w:style>
  <w:style w:type="paragraph" w:styleId="FootnoteText">
    <w:name w:val="footnote text"/>
    <w:basedOn w:val="Normal"/>
    <w:link w:val="FootnoteTextChar"/>
    <w:semiHidden/>
    <w:unhideWhenUsed/>
    <w:rsid w:val="00623BC8"/>
    <w:rPr>
      <w:sz w:val="20"/>
      <w:szCs w:val="20"/>
    </w:rPr>
  </w:style>
  <w:style w:type="character" w:customStyle="1" w:styleId="FootnoteTextChar">
    <w:name w:val="Footnote Text Char"/>
    <w:basedOn w:val="DefaultParagraphFont"/>
    <w:link w:val="FootnoteText"/>
    <w:semiHidden/>
    <w:rsid w:val="00623BC8"/>
  </w:style>
  <w:style w:type="character" w:styleId="FootnoteReference">
    <w:name w:val="footnote reference"/>
    <w:basedOn w:val="DefaultParagraphFont"/>
    <w:semiHidden/>
    <w:unhideWhenUsed/>
    <w:rsid w:val="00623B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50496">
      <w:bodyDiv w:val="1"/>
      <w:marLeft w:val="0"/>
      <w:marRight w:val="0"/>
      <w:marTop w:val="0"/>
      <w:marBottom w:val="0"/>
      <w:divBdr>
        <w:top w:val="none" w:sz="0" w:space="0" w:color="auto"/>
        <w:left w:val="none" w:sz="0" w:space="0" w:color="auto"/>
        <w:bottom w:val="none" w:sz="0" w:space="0" w:color="auto"/>
        <w:right w:val="none" w:sz="0" w:space="0" w:color="auto"/>
      </w:divBdr>
    </w:div>
    <w:div w:id="317921173">
      <w:bodyDiv w:val="1"/>
      <w:marLeft w:val="0"/>
      <w:marRight w:val="0"/>
      <w:marTop w:val="0"/>
      <w:marBottom w:val="0"/>
      <w:divBdr>
        <w:top w:val="none" w:sz="0" w:space="0" w:color="auto"/>
        <w:left w:val="none" w:sz="0" w:space="0" w:color="auto"/>
        <w:bottom w:val="none" w:sz="0" w:space="0" w:color="auto"/>
        <w:right w:val="none" w:sz="0" w:space="0" w:color="auto"/>
      </w:divBdr>
    </w:div>
    <w:div w:id="340855525">
      <w:bodyDiv w:val="1"/>
      <w:marLeft w:val="0"/>
      <w:marRight w:val="0"/>
      <w:marTop w:val="0"/>
      <w:marBottom w:val="0"/>
      <w:divBdr>
        <w:top w:val="none" w:sz="0" w:space="0" w:color="auto"/>
        <w:left w:val="none" w:sz="0" w:space="0" w:color="auto"/>
        <w:bottom w:val="none" w:sz="0" w:space="0" w:color="auto"/>
        <w:right w:val="none" w:sz="0" w:space="0" w:color="auto"/>
      </w:divBdr>
    </w:div>
    <w:div w:id="579410932">
      <w:bodyDiv w:val="1"/>
      <w:marLeft w:val="0"/>
      <w:marRight w:val="0"/>
      <w:marTop w:val="0"/>
      <w:marBottom w:val="0"/>
      <w:divBdr>
        <w:top w:val="none" w:sz="0" w:space="0" w:color="auto"/>
        <w:left w:val="none" w:sz="0" w:space="0" w:color="auto"/>
        <w:bottom w:val="none" w:sz="0" w:space="0" w:color="auto"/>
        <w:right w:val="none" w:sz="0" w:space="0" w:color="auto"/>
      </w:divBdr>
    </w:div>
    <w:div w:id="707951496">
      <w:bodyDiv w:val="1"/>
      <w:marLeft w:val="0"/>
      <w:marRight w:val="0"/>
      <w:marTop w:val="0"/>
      <w:marBottom w:val="0"/>
      <w:divBdr>
        <w:top w:val="none" w:sz="0" w:space="0" w:color="auto"/>
        <w:left w:val="none" w:sz="0" w:space="0" w:color="auto"/>
        <w:bottom w:val="none" w:sz="0" w:space="0" w:color="auto"/>
        <w:right w:val="none" w:sz="0" w:space="0" w:color="auto"/>
      </w:divBdr>
    </w:div>
    <w:div w:id="820582319">
      <w:bodyDiv w:val="1"/>
      <w:marLeft w:val="0"/>
      <w:marRight w:val="0"/>
      <w:marTop w:val="0"/>
      <w:marBottom w:val="0"/>
      <w:divBdr>
        <w:top w:val="none" w:sz="0" w:space="0" w:color="auto"/>
        <w:left w:val="none" w:sz="0" w:space="0" w:color="auto"/>
        <w:bottom w:val="none" w:sz="0" w:space="0" w:color="auto"/>
        <w:right w:val="none" w:sz="0" w:space="0" w:color="auto"/>
      </w:divBdr>
    </w:div>
    <w:div w:id="918364961">
      <w:bodyDiv w:val="1"/>
      <w:marLeft w:val="0"/>
      <w:marRight w:val="0"/>
      <w:marTop w:val="0"/>
      <w:marBottom w:val="0"/>
      <w:divBdr>
        <w:top w:val="none" w:sz="0" w:space="0" w:color="auto"/>
        <w:left w:val="none" w:sz="0" w:space="0" w:color="auto"/>
        <w:bottom w:val="none" w:sz="0" w:space="0" w:color="auto"/>
        <w:right w:val="none" w:sz="0" w:space="0" w:color="auto"/>
      </w:divBdr>
    </w:div>
    <w:div w:id="959841975">
      <w:bodyDiv w:val="1"/>
      <w:marLeft w:val="0"/>
      <w:marRight w:val="0"/>
      <w:marTop w:val="0"/>
      <w:marBottom w:val="0"/>
      <w:divBdr>
        <w:top w:val="none" w:sz="0" w:space="0" w:color="auto"/>
        <w:left w:val="none" w:sz="0" w:space="0" w:color="auto"/>
        <w:bottom w:val="none" w:sz="0" w:space="0" w:color="auto"/>
        <w:right w:val="none" w:sz="0" w:space="0" w:color="auto"/>
      </w:divBdr>
    </w:div>
    <w:div w:id="972247499">
      <w:bodyDiv w:val="1"/>
      <w:marLeft w:val="0"/>
      <w:marRight w:val="0"/>
      <w:marTop w:val="0"/>
      <w:marBottom w:val="0"/>
      <w:divBdr>
        <w:top w:val="none" w:sz="0" w:space="0" w:color="auto"/>
        <w:left w:val="none" w:sz="0" w:space="0" w:color="auto"/>
        <w:bottom w:val="none" w:sz="0" w:space="0" w:color="auto"/>
        <w:right w:val="none" w:sz="0" w:space="0" w:color="auto"/>
      </w:divBdr>
    </w:div>
    <w:div w:id="1082291304">
      <w:bodyDiv w:val="1"/>
      <w:marLeft w:val="0"/>
      <w:marRight w:val="0"/>
      <w:marTop w:val="0"/>
      <w:marBottom w:val="0"/>
      <w:divBdr>
        <w:top w:val="none" w:sz="0" w:space="0" w:color="auto"/>
        <w:left w:val="none" w:sz="0" w:space="0" w:color="auto"/>
        <w:bottom w:val="none" w:sz="0" w:space="0" w:color="auto"/>
        <w:right w:val="none" w:sz="0" w:space="0" w:color="auto"/>
      </w:divBdr>
    </w:div>
    <w:div w:id="187885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oleObject" Target="embeddings/oleObject5.bin"/><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srn.com/abstract=3570540" TargetMode="External"/><Relationship Id="rId17" Type="http://schemas.openxmlformats.org/officeDocument/2006/relationships/oleObject" Target="embeddings/oleObject4.bin"/><Relationship Id="rId25" Type="http://schemas.openxmlformats.org/officeDocument/2006/relationships/hyperlink" Target="https://www.cnn.com/interactive/2020/health/coronavirus-us-maps-and-cases/" TargetMode="Externa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heaton@mit.edu" TargetMode="External"/><Relationship Id="rId24" Type="http://schemas.openxmlformats.org/officeDocument/2006/relationships/hyperlink" Target="https://www.nytimes.com/interactive/2020/us/coronavirus-us-cases.html"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nytimes.com/interactive/2020/04/03/world/coronavirus-flatten-the-curve-countries.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4.png"/><Relationship Id="rId27" Type="http://schemas.openxmlformats.org/officeDocument/2006/relationships/hyperlink" Target="https://en.wikipedia.org/wiki/File:SIR_model_anim.gif"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FD2E3B41FF24FBA2591C25A8053E6" ma:contentTypeVersion="13" ma:contentTypeDescription="Create a new document." ma:contentTypeScope="" ma:versionID="df8b1714d3f48172ddceaef4e18a09a8">
  <xsd:schema xmlns:xsd="http://www.w3.org/2001/XMLSchema" xmlns:xs="http://www.w3.org/2001/XMLSchema" xmlns:p="http://schemas.microsoft.com/office/2006/metadata/properties" xmlns:ns3="abe24e83-4f15-4d0c-85b8-125cb34f75f8" xmlns:ns4="5312d416-2c34-43f2-b64a-e9cd54da0690" targetNamespace="http://schemas.microsoft.com/office/2006/metadata/properties" ma:root="true" ma:fieldsID="07f53de8d559b2c42c3fdcd409ffdae5" ns3:_="" ns4:_="">
    <xsd:import namespace="abe24e83-4f15-4d0c-85b8-125cb34f75f8"/>
    <xsd:import namespace="5312d416-2c34-43f2-b64a-e9cd54da06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24e83-4f15-4d0c-85b8-125cb34f7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2d416-2c34-43f2-b64a-e9cd54da06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381EC-3761-4B65-8A37-6CF386865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B42A77-CA4A-4C35-A78C-D70C27D64C52}">
  <ds:schemaRefs>
    <ds:schemaRef ds:uri="http://schemas.microsoft.com/sharepoint/v3/contenttype/forms"/>
  </ds:schemaRefs>
</ds:datastoreItem>
</file>

<file path=customXml/itemProps3.xml><?xml version="1.0" encoding="utf-8"?>
<ds:datastoreItem xmlns:ds="http://schemas.openxmlformats.org/officeDocument/2006/customXml" ds:itemID="{26BD2749-BE23-41EF-8710-56DE0383B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24e83-4f15-4d0c-85b8-125cb34f75f8"/>
    <ds:schemaRef ds:uri="5312d416-2c34-43f2-b64a-e9cd54da0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A26C2E-F33E-4919-BF1D-A4CC3411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3032</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Client Conference</vt:lpstr>
    </vt:vector>
  </TitlesOfParts>
  <Company>CBRE - Torto Wheaton Research</Company>
  <LinksUpToDate>false</LinksUpToDate>
  <CharactersWithSpaces>20276</CharactersWithSpaces>
  <SharedDoc>false</SharedDoc>
  <HLinks>
    <vt:vector size="30" baseType="variant">
      <vt:variant>
        <vt:i4>3276920</vt:i4>
      </vt:variant>
      <vt:variant>
        <vt:i4>15</vt:i4>
      </vt:variant>
      <vt:variant>
        <vt:i4>0</vt:i4>
      </vt:variant>
      <vt:variant>
        <vt:i4>5</vt:i4>
      </vt:variant>
      <vt:variant>
        <vt:lpwstr>http://www.pewinternet.org/2017/10/04/automation-in-everyday-life/</vt:lpwstr>
      </vt:variant>
      <vt:variant>
        <vt:lpwstr/>
      </vt:variant>
      <vt:variant>
        <vt:i4>4718686</vt:i4>
      </vt:variant>
      <vt:variant>
        <vt:i4>12</vt:i4>
      </vt:variant>
      <vt:variant>
        <vt:i4>0</vt:i4>
      </vt:variant>
      <vt:variant>
        <vt:i4>5</vt:i4>
      </vt:variant>
      <vt:variant>
        <vt:lpwstr>http://www.mckinsey.com/</vt:lpwstr>
      </vt:variant>
      <vt:variant>
        <vt:lpwstr/>
      </vt:variant>
      <vt:variant>
        <vt:i4>4980739</vt:i4>
      </vt:variant>
      <vt:variant>
        <vt:i4>9</vt:i4>
      </vt:variant>
      <vt:variant>
        <vt:i4>0</vt:i4>
      </vt:variant>
      <vt:variant>
        <vt:i4>5</vt:i4>
      </vt:variant>
      <vt:variant>
        <vt:lpwstr>http://www.themanufacturinginstitute.org/</vt:lpwstr>
      </vt:variant>
      <vt:variant>
        <vt:lpwstr/>
      </vt:variant>
      <vt:variant>
        <vt:i4>2818153</vt:i4>
      </vt:variant>
      <vt:variant>
        <vt:i4>6</vt:i4>
      </vt:variant>
      <vt:variant>
        <vt:i4>0</vt:i4>
      </vt:variant>
      <vt:variant>
        <vt:i4>5</vt:i4>
      </vt:variant>
      <vt:variant>
        <vt:lpwstr>http://www.aei.org/</vt:lpwstr>
      </vt:variant>
      <vt:variant>
        <vt:lpwstr/>
      </vt:variant>
      <vt:variant>
        <vt:i4>6488143</vt:i4>
      </vt:variant>
      <vt:variant>
        <vt:i4>0</vt:i4>
      </vt:variant>
      <vt:variant>
        <vt:i4>0</vt:i4>
      </vt:variant>
      <vt:variant>
        <vt:i4>5</vt:i4>
      </vt:variant>
      <vt:variant>
        <vt:lpwstr>mailto:wheaton@mit.edu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Conference</dc:title>
  <dc:creator>bvarughese</dc:creator>
  <cp:lastModifiedBy>william wheaton</cp:lastModifiedBy>
  <cp:revision>14</cp:revision>
  <cp:lastPrinted>2020-04-08T01:29:00Z</cp:lastPrinted>
  <dcterms:created xsi:type="dcterms:W3CDTF">2020-04-06T20:25:00Z</dcterms:created>
  <dcterms:modified xsi:type="dcterms:W3CDTF">2020-06-28T13:31:00Z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0x010100420FD2E3B41FF24FBA2591C25A8053E6</vt:lpwstr>
  </property>
</Properties>
</file>